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349A" w:rsidRDefault="001754E7">
      <w:pPr>
        <w:jc w:val="center"/>
        <w:rPr>
          <w:rFonts w:ascii="仿宋" w:eastAsia="仿宋" w:hAnsi="仿宋" w:cs="仿宋"/>
          <w:b/>
          <w:bCs/>
          <w:sz w:val="36"/>
          <w:szCs w:val="36"/>
        </w:rPr>
      </w:pPr>
      <w:r>
        <w:rPr>
          <w:rFonts w:ascii="仿宋" w:eastAsia="仿宋" w:hAnsi="仿宋" w:cs="仿宋" w:hint="eastAsia"/>
          <w:b/>
          <w:bCs/>
          <w:sz w:val="36"/>
          <w:szCs w:val="36"/>
        </w:rPr>
        <w:t xml:space="preserve"> </w:t>
      </w:r>
      <w:r w:rsidR="005E5406">
        <w:rPr>
          <w:rFonts w:ascii="仿宋" w:eastAsia="仿宋" w:hAnsi="仿宋" w:cs="仿宋" w:hint="eastAsia"/>
          <w:b/>
          <w:bCs/>
          <w:sz w:val="36"/>
          <w:szCs w:val="36"/>
        </w:rPr>
        <w:t>关于加大“一带一路”背景下</w:t>
      </w:r>
    </w:p>
    <w:p w:rsidR="00B0349A" w:rsidRDefault="005E5406">
      <w:pPr>
        <w:jc w:val="center"/>
        <w:rPr>
          <w:rFonts w:ascii="仿宋" w:eastAsia="仿宋" w:hAnsi="仿宋" w:cs="仿宋"/>
          <w:b/>
          <w:bCs/>
          <w:sz w:val="36"/>
          <w:szCs w:val="36"/>
        </w:rPr>
      </w:pPr>
      <w:r>
        <w:rPr>
          <w:rFonts w:ascii="仿宋" w:eastAsia="仿宋" w:hAnsi="仿宋" w:cs="仿宋" w:hint="eastAsia"/>
          <w:b/>
          <w:bCs/>
          <w:sz w:val="36"/>
          <w:szCs w:val="36"/>
        </w:rPr>
        <w:t>中国汽车“走出去”支持力度的建议</w:t>
      </w:r>
    </w:p>
    <w:p w:rsidR="00B0349A" w:rsidRDefault="005E5406">
      <w:pPr>
        <w:spacing w:beforeLines="20" w:before="62" w:afterLines="80" w:after="249"/>
        <w:jc w:val="center"/>
        <w:rPr>
          <w:rFonts w:ascii="仿宋" w:eastAsia="仿宋" w:hAnsi="仿宋" w:cs="宋体"/>
          <w:bCs/>
          <w:sz w:val="28"/>
          <w:szCs w:val="28"/>
          <w:lang w:val="zh-CN"/>
        </w:rPr>
      </w:pPr>
      <w:r>
        <w:rPr>
          <w:rFonts w:ascii="仿宋" w:eastAsia="仿宋" w:hAnsi="仿宋" w:cs="宋体" w:hint="eastAsia"/>
          <w:bCs/>
          <w:sz w:val="32"/>
          <w:szCs w:val="32"/>
          <w:lang w:val="zh-CN"/>
        </w:rPr>
        <w:t>河北省代表团代表   王凤英</w:t>
      </w:r>
    </w:p>
    <w:tbl>
      <w:tblPr>
        <w:tblStyle w:val="a7"/>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22"/>
      </w:tblGrid>
      <w:tr w:rsidR="00B0349A">
        <w:tc>
          <w:tcPr>
            <w:tcW w:w="8522" w:type="dxa"/>
          </w:tcPr>
          <w:p w:rsidR="00B0349A" w:rsidRDefault="005E5406">
            <w:pPr>
              <w:rPr>
                <w:rFonts w:ascii="仿宋" w:eastAsia="仿宋" w:hAnsi="仿宋" w:cs="仿宋"/>
                <w:b/>
                <w:sz w:val="28"/>
                <w:szCs w:val="28"/>
              </w:rPr>
            </w:pPr>
            <w:r>
              <w:rPr>
                <w:rFonts w:ascii="仿宋" w:eastAsia="仿宋" w:hAnsi="仿宋" w:cs="仿宋" w:hint="eastAsia"/>
                <w:b/>
                <w:sz w:val="28"/>
                <w:szCs w:val="28"/>
              </w:rPr>
              <w:t>概要：</w:t>
            </w:r>
          </w:p>
          <w:p w:rsidR="00B0349A" w:rsidRDefault="005E5406">
            <w:pPr>
              <w:ind w:firstLineChars="200" w:firstLine="562"/>
              <w:rPr>
                <w:rFonts w:ascii="仿宋" w:eastAsia="仿宋" w:hAnsi="仿宋" w:cs="仿宋"/>
                <w:b/>
                <w:sz w:val="28"/>
                <w:szCs w:val="28"/>
              </w:rPr>
            </w:pPr>
            <w:r>
              <w:rPr>
                <w:rFonts w:ascii="仿宋" w:eastAsia="仿宋" w:hAnsi="仿宋" w:cs="仿宋" w:hint="eastAsia"/>
                <w:b/>
                <w:sz w:val="28"/>
                <w:szCs w:val="28"/>
              </w:rPr>
              <w:t>作为国民经济的支柱产业之一，汽车工业在世界主要经济强国的发展过程中均扮演了重要角色。中国汽车“走出去”是企业发展壮大的必由之路，更是国家建设制造强国的战略需要。新形势下，“一带一路”建设为中国汽车“走出去”提供了巨大的机遇，中国汽车“走出去”已经从过去的出口贸易型迈向</w:t>
            </w:r>
            <w:proofErr w:type="gramStart"/>
            <w:r>
              <w:rPr>
                <w:rFonts w:ascii="仿宋" w:eastAsia="仿宋" w:hAnsi="仿宋" w:cs="仿宋" w:hint="eastAsia"/>
                <w:b/>
                <w:sz w:val="28"/>
                <w:szCs w:val="28"/>
              </w:rPr>
              <w:t>研</w:t>
            </w:r>
            <w:proofErr w:type="gramEnd"/>
            <w:r>
              <w:rPr>
                <w:rFonts w:ascii="仿宋" w:eastAsia="仿宋" w:hAnsi="仿宋" w:cs="仿宋" w:hint="eastAsia"/>
                <w:b/>
                <w:sz w:val="28"/>
                <w:szCs w:val="28"/>
              </w:rPr>
              <w:t>、产、供、</w:t>
            </w:r>
            <w:proofErr w:type="gramStart"/>
            <w:r>
              <w:rPr>
                <w:rFonts w:ascii="仿宋" w:eastAsia="仿宋" w:hAnsi="仿宋" w:cs="仿宋" w:hint="eastAsia"/>
                <w:b/>
                <w:sz w:val="28"/>
                <w:szCs w:val="28"/>
              </w:rPr>
              <w:t>销全面</w:t>
            </w:r>
            <w:proofErr w:type="gramEnd"/>
            <w:r>
              <w:rPr>
                <w:rFonts w:ascii="仿宋" w:eastAsia="仿宋" w:hAnsi="仿宋" w:cs="仿宋" w:hint="eastAsia"/>
                <w:b/>
                <w:sz w:val="28"/>
                <w:szCs w:val="28"/>
              </w:rPr>
              <w:t>布局的新阶段。</w:t>
            </w:r>
          </w:p>
          <w:p w:rsidR="00B0349A" w:rsidRDefault="005E5406">
            <w:pPr>
              <w:ind w:firstLineChars="200" w:firstLine="562"/>
              <w:rPr>
                <w:rFonts w:ascii="仿宋" w:eastAsia="仿宋" w:hAnsi="仿宋" w:cs="仿宋"/>
                <w:b/>
                <w:sz w:val="28"/>
                <w:szCs w:val="28"/>
              </w:rPr>
            </w:pPr>
            <w:r>
              <w:rPr>
                <w:rFonts w:ascii="仿宋" w:eastAsia="仿宋" w:hAnsi="仿宋" w:cs="仿宋" w:hint="eastAsia"/>
                <w:b/>
                <w:sz w:val="28"/>
                <w:szCs w:val="28"/>
              </w:rPr>
              <w:t>然而，面对日益复杂的国际环境和扑朔迷离的竞争格局，中国汽车“走出去”仍面临诸多困难和问题，如汽车出口价格低廉、“走出去”模式单一、品牌影响力不足、金融服务瓶颈凸显、合</w:t>
            </w:r>
            <w:proofErr w:type="gramStart"/>
            <w:r>
              <w:rPr>
                <w:rFonts w:ascii="仿宋" w:eastAsia="仿宋" w:hAnsi="仿宋" w:cs="仿宋" w:hint="eastAsia"/>
                <w:b/>
                <w:sz w:val="28"/>
                <w:szCs w:val="28"/>
              </w:rPr>
              <w:t>规</w:t>
            </w:r>
            <w:proofErr w:type="gramEnd"/>
            <w:r>
              <w:rPr>
                <w:rFonts w:ascii="仿宋" w:eastAsia="仿宋" w:hAnsi="仿宋" w:cs="仿宋" w:hint="eastAsia"/>
                <w:b/>
                <w:sz w:val="28"/>
                <w:szCs w:val="28"/>
              </w:rPr>
              <w:t>风险掌控能力不足等。中国汽车“走出去”是一个系统性工程，诸多问题的解决需要国家从顶层设计层面加大支持力度。</w:t>
            </w:r>
          </w:p>
          <w:p w:rsidR="00B0349A" w:rsidRDefault="00DD4521">
            <w:pPr>
              <w:ind w:firstLineChars="200" w:firstLine="562"/>
              <w:rPr>
                <w:rFonts w:ascii="仿宋" w:eastAsia="仿宋" w:hAnsi="仿宋" w:cs="仿宋"/>
                <w:b/>
                <w:color w:val="404040"/>
                <w:sz w:val="28"/>
                <w:szCs w:val="28"/>
                <w:shd w:val="clear" w:color="auto" w:fill="FFFFFF"/>
              </w:rPr>
            </w:pPr>
            <w:r>
              <w:rPr>
                <w:rFonts w:ascii="仿宋" w:eastAsia="仿宋" w:hAnsi="仿宋" w:cs="仿宋" w:hint="eastAsia"/>
                <w:b/>
                <w:sz w:val="28"/>
                <w:szCs w:val="28"/>
              </w:rPr>
              <w:t>因此提出以下建议：一、制定中国汽车“走出去”国家战略，推动汽车强国建设；二、引导新能源汽车出口新增长点，强化对出口企业的管理；三、建立汽车质量品牌评价体系，加强品牌培育；四、搭建“一带一路”综合服务平台，护航企业“出海”；五、优化跨境金融政策支持，加大对汽车企业“走出去”的金融支持力度；六、建立健全风险防控和权益保障机制，保护中国汽车企业利益。</w:t>
            </w:r>
          </w:p>
        </w:tc>
      </w:tr>
    </w:tbl>
    <w:p w:rsidR="00B0349A" w:rsidRDefault="00B0349A">
      <w:pPr>
        <w:ind w:firstLineChars="200" w:firstLine="560"/>
        <w:rPr>
          <w:rFonts w:ascii="仿宋" w:eastAsia="仿宋" w:hAnsi="仿宋" w:cs="仿宋"/>
          <w:sz w:val="28"/>
          <w:szCs w:val="28"/>
        </w:rPr>
      </w:pPr>
    </w:p>
    <w:p w:rsidR="00B0349A" w:rsidRPr="006D1DD4" w:rsidRDefault="005E5406">
      <w:pPr>
        <w:numPr>
          <w:ilvl w:val="0"/>
          <w:numId w:val="1"/>
        </w:numPr>
        <w:rPr>
          <w:rFonts w:ascii="仿宋" w:eastAsia="仿宋" w:hAnsi="仿宋" w:cs="仿宋"/>
          <w:b/>
          <w:bCs/>
          <w:sz w:val="32"/>
          <w:szCs w:val="28"/>
        </w:rPr>
      </w:pPr>
      <w:r w:rsidRPr="006D1DD4">
        <w:rPr>
          <w:rFonts w:ascii="仿宋" w:eastAsia="仿宋" w:hAnsi="仿宋" w:cs="仿宋" w:hint="eastAsia"/>
          <w:b/>
          <w:bCs/>
          <w:sz w:val="32"/>
          <w:szCs w:val="28"/>
        </w:rPr>
        <w:lastRenderedPageBreak/>
        <w:t>背景：中国汽车“走出去”迎新时代发展契机</w:t>
      </w:r>
    </w:p>
    <w:p w:rsidR="00B0349A" w:rsidRDefault="005E5406">
      <w:pPr>
        <w:numPr>
          <w:ilvl w:val="0"/>
          <w:numId w:val="2"/>
        </w:numPr>
        <w:rPr>
          <w:rFonts w:ascii="仿宋" w:eastAsia="仿宋" w:hAnsi="仿宋" w:cs="仿宋"/>
          <w:b/>
          <w:bCs/>
          <w:sz w:val="28"/>
          <w:szCs w:val="28"/>
        </w:rPr>
      </w:pPr>
      <w:r>
        <w:rPr>
          <w:rFonts w:ascii="仿宋" w:eastAsia="仿宋" w:hAnsi="仿宋" w:cs="仿宋" w:hint="eastAsia"/>
          <w:b/>
          <w:bCs/>
          <w:sz w:val="28"/>
          <w:szCs w:val="28"/>
        </w:rPr>
        <w:t>“走出去”是中国迈向世界汽车强国的必由之路</w:t>
      </w:r>
    </w:p>
    <w:p w:rsidR="00B0349A" w:rsidRDefault="005E5406">
      <w:pPr>
        <w:ind w:firstLineChars="200" w:firstLine="560"/>
        <w:rPr>
          <w:rFonts w:ascii="仿宋" w:eastAsia="仿宋" w:hAnsi="仿宋" w:cs="仿宋"/>
          <w:sz w:val="28"/>
          <w:szCs w:val="28"/>
        </w:rPr>
      </w:pPr>
      <w:r>
        <w:rPr>
          <w:rFonts w:ascii="仿宋" w:eastAsia="仿宋" w:hAnsi="仿宋" w:cs="仿宋" w:hint="eastAsia"/>
          <w:sz w:val="28"/>
          <w:szCs w:val="28"/>
        </w:rPr>
        <w:t>制造业是实体经济之本，科技含量高、工业产值大、上下游产业拉动力强的汽车产业又是一国制造业的典型代表，在德国、法国、美国和日本等世界主要经济强国的发展过程中均扮演了重要角色。可以说，汽车产业是体现一国综合竞争力的标志性产业，汽车产品则是塑造国家制造业整体品牌形象的重要名片。</w:t>
      </w:r>
    </w:p>
    <w:p w:rsidR="00B0349A" w:rsidRDefault="005E5406">
      <w:pPr>
        <w:ind w:firstLineChars="200" w:firstLine="560"/>
        <w:rPr>
          <w:rFonts w:ascii="仿宋" w:eastAsia="仿宋" w:hAnsi="仿宋" w:cs="仿宋"/>
          <w:sz w:val="28"/>
          <w:szCs w:val="28"/>
        </w:rPr>
      </w:pPr>
      <w:r>
        <w:rPr>
          <w:rFonts w:ascii="仿宋" w:eastAsia="仿宋" w:hAnsi="仿宋" w:cs="仿宋" w:hint="eastAsia"/>
          <w:sz w:val="28"/>
          <w:szCs w:val="28"/>
        </w:rPr>
        <w:t>当前，我国正推进以《中国制造2025》为核心的制造业转型升级，要从制造大国迈向制造强国。汽车产业作为重点发力的领域之一，也亟须转型升级、由大变强。而世界各汽车强国的发展实践证明，“走出去”是中国迈向汽车强国的必由之路，是抢占新一轮科技革命制高点的重要力量，是建设制造强国的重要支撑。</w:t>
      </w:r>
    </w:p>
    <w:p w:rsidR="00B0349A" w:rsidRDefault="005E5406">
      <w:pPr>
        <w:numPr>
          <w:ilvl w:val="0"/>
          <w:numId w:val="2"/>
        </w:numPr>
        <w:rPr>
          <w:rFonts w:ascii="仿宋" w:eastAsia="仿宋" w:hAnsi="仿宋" w:cs="仿宋"/>
          <w:b/>
          <w:bCs/>
          <w:sz w:val="28"/>
          <w:szCs w:val="28"/>
        </w:rPr>
      </w:pPr>
      <w:r>
        <w:rPr>
          <w:rFonts w:ascii="仿宋" w:eastAsia="仿宋" w:hAnsi="仿宋" w:cs="仿宋" w:hint="eastAsia"/>
          <w:b/>
          <w:bCs/>
          <w:sz w:val="28"/>
          <w:szCs w:val="28"/>
        </w:rPr>
        <w:t>中国汽车品牌已具备开拓国际市场的实力</w:t>
      </w:r>
    </w:p>
    <w:p w:rsidR="00B0349A" w:rsidRDefault="005E5406">
      <w:pPr>
        <w:ind w:firstLineChars="200" w:firstLine="560"/>
        <w:rPr>
          <w:rFonts w:ascii="仿宋" w:eastAsia="仿宋" w:hAnsi="仿宋" w:cs="仿宋"/>
          <w:sz w:val="28"/>
          <w:szCs w:val="28"/>
        </w:rPr>
      </w:pPr>
      <w:r>
        <w:rPr>
          <w:rFonts w:ascii="仿宋" w:eastAsia="仿宋" w:hAnsi="仿宋" w:cs="仿宋" w:hint="eastAsia"/>
          <w:sz w:val="28"/>
          <w:szCs w:val="28"/>
        </w:rPr>
        <w:t>从产销规模上看，中国汽车产销量连续多年蝉联全球第一，年产销达2000多万辆，早已跻身汽车大国行列。但从对外贸易角度看，由于汽车出口市场规模不大、出口单价偏低，中国距离汽车出口强国仍有较大差距。而从长期来看，随着经济和全球市场一体化进程的推进，国内汽车市场已不能满足中国汽车发展的需求，中国汽车工业只有走国际化道路、提升海外市场竞争力，才能在全球市场中赢得一席之地，也是改变中国汽车产业“大而不强”现状的有效途径。我国2017年发布的《汽车产业中长期发展规划》也将国际化作为重要内容。</w:t>
      </w:r>
    </w:p>
    <w:p w:rsidR="00B0349A" w:rsidRDefault="005E5406">
      <w:pPr>
        <w:ind w:firstLineChars="200" w:firstLine="560"/>
        <w:rPr>
          <w:rFonts w:ascii="仿宋" w:eastAsia="仿宋" w:hAnsi="仿宋" w:cs="仿宋"/>
          <w:sz w:val="28"/>
          <w:szCs w:val="28"/>
        </w:rPr>
      </w:pPr>
      <w:r>
        <w:rPr>
          <w:rFonts w:ascii="仿宋" w:eastAsia="仿宋" w:hAnsi="仿宋" w:cs="仿宋" w:hint="eastAsia"/>
          <w:sz w:val="28"/>
          <w:szCs w:val="28"/>
        </w:rPr>
        <w:t>对于车企而言，“走出去”也是其应对激烈竞争、迎接汽车“新</w:t>
      </w:r>
      <w:r>
        <w:rPr>
          <w:rFonts w:ascii="仿宋" w:eastAsia="仿宋" w:hAnsi="仿宋" w:cs="仿宋" w:hint="eastAsia"/>
          <w:sz w:val="28"/>
          <w:szCs w:val="28"/>
        </w:rPr>
        <w:lastRenderedPageBreak/>
        <w:t>四化”的迫切需求。如今，立足中国汽车产业逐步完善的软硬件基础，一些优秀的中国汽车品牌在技术研发、产品品质、体系能力等方面取得了长足进步，已经具备相当的实力来开拓国际市场，多家中国车企纷纷以全球化构想推进战略和产品，全球化布局大大加速。整体而言，中国汽车业“走出去”已经从过去的出口贸易型迈向</w:t>
      </w:r>
      <w:proofErr w:type="gramStart"/>
      <w:r>
        <w:rPr>
          <w:rFonts w:ascii="仿宋" w:eastAsia="仿宋" w:hAnsi="仿宋" w:cs="仿宋" w:hint="eastAsia"/>
          <w:sz w:val="28"/>
          <w:szCs w:val="28"/>
        </w:rPr>
        <w:t>研</w:t>
      </w:r>
      <w:proofErr w:type="gramEnd"/>
      <w:r>
        <w:rPr>
          <w:rFonts w:ascii="仿宋" w:eastAsia="仿宋" w:hAnsi="仿宋" w:cs="仿宋" w:hint="eastAsia"/>
          <w:sz w:val="28"/>
          <w:szCs w:val="28"/>
        </w:rPr>
        <w:t>、产、供、</w:t>
      </w:r>
      <w:proofErr w:type="gramStart"/>
      <w:r>
        <w:rPr>
          <w:rFonts w:ascii="仿宋" w:eastAsia="仿宋" w:hAnsi="仿宋" w:cs="仿宋" w:hint="eastAsia"/>
          <w:sz w:val="28"/>
          <w:szCs w:val="28"/>
        </w:rPr>
        <w:t>销全面</w:t>
      </w:r>
      <w:proofErr w:type="gramEnd"/>
      <w:r>
        <w:rPr>
          <w:rFonts w:ascii="仿宋" w:eastAsia="仿宋" w:hAnsi="仿宋" w:cs="仿宋" w:hint="eastAsia"/>
          <w:sz w:val="28"/>
          <w:szCs w:val="28"/>
        </w:rPr>
        <w:t>布局的新阶段，取得不同以往的新成效。</w:t>
      </w:r>
    </w:p>
    <w:p w:rsidR="00B0349A" w:rsidRDefault="005E5406">
      <w:pPr>
        <w:numPr>
          <w:ilvl w:val="0"/>
          <w:numId w:val="2"/>
        </w:numPr>
        <w:rPr>
          <w:rFonts w:ascii="仿宋" w:eastAsia="仿宋" w:hAnsi="仿宋" w:cs="仿宋"/>
          <w:b/>
          <w:bCs/>
          <w:sz w:val="28"/>
          <w:szCs w:val="28"/>
        </w:rPr>
      </w:pPr>
      <w:r>
        <w:rPr>
          <w:rFonts w:ascii="仿宋" w:eastAsia="仿宋" w:hAnsi="仿宋" w:cs="仿宋" w:hint="eastAsia"/>
          <w:b/>
          <w:bCs/>
          <w:sz w:val="28"/>
          <w:szCs w:val="28"/>
        </w:rPr>
        <w:t>“一带一路”为中国汽车“走出去”提供了巨大机遇</w:t>
      </w:r>
    </w:p>
    <w:p w:rsidR="00B0349A" w:rsidRDefault="005E5406">
      <w:pPr>
        <w:ind w:firstLineChars="200" w:firstLine="560"/>
        <w:rPr>
          <w:rFonts w:ascii="仿宋" w:eastAsia="仿宋" w:hAnsi="仿宋" w:cs="仿宋"/>
          <w:sz w:val="28"/>
          <w:szCs w:val="28"/>
        </w:rPr>
      </w:pPr>
      <w:r>
        <w:rPr>
          <w:rFonts w:ascii="仿宋" w:eastAsia="仿宋" w:hAnsi="仿宋" w:cs="仿宋" w:hint="eastAsia"/>
          <w:sz w:val="28"/>
          <w:szCs w:val="28"/>
        </w:rPr>
        <w:t>作为世界上跨度最长的经济大走廊，“一带一路”贯穿欧亚非大陆，涉及国家资源禀赋各异，彼此合作潜力和空间很大，当前已成为</w:t>
      </w:r>
      <w:r w:rsidR="000E29D2">
        <w:rPr>
          <w:rFonts w:ascii="仿宋" w:eastAsia="仿宋" w:hAnsi="仿宋" w:cs="仿宋" w:hint="eastAsia"/>
          <w:sz w:val="28"/>
          <w:szCs w:val="28"/>
        </w:rPr>
        <w:t>国际上</w:t>
      </w:r>
      <w:r>
        <w:rPr>
          <w:rFonts w:ascii="仿宋" w:eastAsia="仿宋" w:hAnsi="仿宋" w:cs="仿宋" w:hint="eastAsia"/>
          <w:sz w:val="28"/>
          <w:szCs w:val="28"/>
        </w:rPr>
        <w:t>最受欢迎的全球公共产品，为中国汽车“走出去”提供了重大发展机遇。</w:t>
      </w:r>
    </w:p>
    <w:p w:rsidR="00B0349A" w:rsidRDefault="005E5406">
      <w:pPr>
        <w:ind w:firstLineChars="200" w:firstLine="560"/>
        <w:rPr>
          <w:rFonts w:ascii="仿宋" w:eastAsia="仿宋" w:hAnsi="仿宋" w:cs="仿宋"/>
          <w:sz w:val="28"/>
          <w:szCs w:val="28"/>
        </w:rPr>
      </w:pPr>
      <w:r>
        <w:rPr>
          <w:rFonts w:ascii="仿宋" w:eastAsia="仿宋" w:hAnsi="仿宋" w:cs="仿宋" w:hint="eastAsia"/>
          <w:sz w:val="28"/>
          <w:szCs w:val="28"/>
        </w:rPr>
        <w:t>数据显示，近年中国向“一带一路”国家整车出口量占总出口量比重已超过五成，“一带一路”相关国家或地区汽车消费潜力巨大。如俄罗斯地域辽阔，近年SUV车型在俄罗斯市场销量及占比逐年增高；非洲目前的新车年销量为170~190万辆，但年均增速在20%左右，且非洲当地汽车工业不发达，汽车市场依赖进口，未来有很大的市场潜力；南美洲也已成为全球车市的新引擎。得益于“一带一路”建设等利好因素，中国汽车品牌“走出去”方式渐趋多元，海外市场份额不断扩大。</w:t>
      </w:r>
    </w:p>
    <w:p w:rsidR="00B0349A" w:rsidRDefault="00B0349A">
      <w:pPr>
        <w:ind w:firstLineChars="200" w:firstLine="560"/>
        <w:rPr>
          <w:rFonts w:ascii="仿宋" w:eastAsia="仿宋" w:hAnsi="仿宋" w:cs="仿宋"/>
          <w:sz w:val="28"/>
          <w:szCs w:val="28"/>
        </w:rPr>
      </w:pPr>
    </w:p>
    <w:p w:rsidR="00B0349A" w:rsidRPr="006D1DD4" w:rsidRDefault="005E5406">
      <w:pPr>
        <w:numPr>
          <w:ilvl w:val="0"/>
          <w:numId w:val="1"/>
        </w:numPr>
        <w:rPr>
          <w:rFonts w:ascii="仿宋" w:eastAsia="仿宋" w:hAnsi="仿宋" w:cs="仿宋"/>
          <w:b/>
          <w:bCs/>
          <w:sz w:val="32"/>
          <w:szCs w:val="28"/>
        </w:rPr>
      </w:pPr>
      <w:r w:rsidRPr="006D1DD4">
        <w:rPr>
          <w:rFonts w:ascii="仿宋" w:eastAsia="仿宋" w:hAnsi="仿宋" w:cs="仿宋" w:hint="eastAsia"/>
          <w:b/>
          <w:bCs/>
          <w:sz w:val="32"/>
          <w:szCs w:val="28"/>
        </w:rPr>
        <w:t>现状&amp;问题：中国汽车“走出去”仍面临诸多问题和风险</w:t>
      </w:r>
    </w:p>
    <w:p w:rsidR="00B0349A" w:rsidRDefault="005E5406">
      <w:pPr>
        <w:ind w:firstLineChars="200" w:firstLine="560"/>
        <w:rPr>
          <w:rFonts w:ascii="仿宋" w:eastAsia="仿宋" w:hAnsi="仿宋" w:cs="仿宋"/>
          <w:sz w:val="28"/>
          <w:szCs w:val="28"/>
        </w:rPr>
      </w:pPr>
      <w:r>
        <w:rPr>
          <w:rFonts w:ascii="仿宋" w:eastAsia="仿宋" w:hAnsi="仿宋" w:cs="仿宋" w:hint="eastAsia"/>
          <w:sz w:val="28"/>
          <w:szCs w:val="28"/>
        </w:rPr>
        <w:t>面对日益复杂的国际环境和扑朔迷离的竞争格局，尽管中国汽车</w:t>
      </w:r>
      <w:r>
        <w:rPr>
          <w:rFonts w:ascii="仿宋" w:eastAsia="仿宋" w:hAnsi="仿宋" w:cs="仿宋" w:hint="eastAsia"/>
          <w:sz w:val="28"/>
          <w:szCs w:val="28"/>
        </w:rPr>
        <w:lastRenderedPageBreak/>
        <w:t>“走出去”已经取得了一些成果，如中国汽车出口总量达到百万辆规模、“走出去”模式拓展，但仍面临诸多问题和困难。</w:t>
      </w:r>
    </w:p>
    <w:p w:rsidR="00B0349A" w:rsidRDefault="005E5406">
      <w:pPr>
        <w:numPr>
          <w:ilvl w:val="0"/>
          <w:numId w:val="3"/>
        </w:numPr>
        <w:rPr>
          <w:rFonts w:ascii="仿宋" w:eastAsia="仿宋" w:hAnsi="仿宋" w:cs="仿宋"/>
          <w:b/>
          <w:bCs/>
          <w:sz w:val="28"/>
          <w:szCs w:val="28"/>
        </w:rPr>
      </w:pPr>
      <w:r>
        <w:rPr>
          <w:rFonts w:ascii="仿宋" w:eastAsia="仿宋" w:hAnsi="仿宋" w:cs="仿宋" w:hint="eastAsia"/>
          <w:b/>
          <w:bCs/>
          <w:sz w:val="28"/>
          <w:szCs w:val="28"/>
        </w:rPr>
        <w:t>汽车出口规模小 出口车辆价格低 “走出去”模式单一</w:t>
      </w:r>
    </w:p>
    <w:p w:rsidR="00B0349A" w:rsidRDefault="005E5406">
      <w:pPr>
        <w:ind w:firstLineChars="200" w:firstLine="560"/>
        <w:rPr>
          <w:rFonts w:ascii="仿宋" w:eastAsia="仿宋" w:hAnsi="仿宋" w:cs="仿宋"/>
          <w:sz w:val="28"/>
          <w:szCs w:val="28"/>
        </w:rPr>
      </w:pPr>
      <w:r>
        <w:rPr>
          <w:rFonts w:ascii="仿宋" w:eastAsia="仿宋" w:hAnsi="仿宋" w:cs="仿宋" w:hint="eastAsia"/>
          <w:sz w:val="28"/>
          <w:szCs w:val="28"/>
        </w:rPr>
        <w:t>中国国际商会发布的《“一带一路”中国汽车企业“海外竞争力”蓝皮书》显示，过去十年中国汽车产业的贸易竞争优势指数均为负数且长期低于-0.5，反映出中国汽车在海外市场存在较大的竞争劣势，出口竞争力长期徘徊在较低水平。</w:t>
      </w:r>
    </w:p>
    <w:p w:rsidR="00B0349A" w:rsidRDefault="005E5406">
      <w:pPr>
        <w:rPr>
          <w:rFonts w:ascii="仿宋" w:eastAsia="仿宋" w:hAnsi="仿宋" w:cs="仿宋"/>
          <w:b/>
          <w:bCs/>
          <w:sz w:val="28"/>
          <w:szCs w:val="28"/>
        </w:rPr>
      </w:pPr>
      <w:r>
        <w:rPr>
          <w:rFonts w:ascii="仿宋" w:eastAsia="仿宋" w:hAnsi="仿宋" w:cs="仿宋" w:hint="eastAsia"/>
          <w:b/>
          <w:bCs/>
          <w:sz w:val="28"/>
          <w:szCs w:val="28"/>
        </w:rPr>
        <w:t>中国汽车出口销量占比（2015-2019年）</w:t>
      </w:r>
    </w:p>
    <w:tbl>
      <w:tblPr>
        <w:tblStyle w:val="a7"/>
        <w:tblW w:w="0" w:type="auto"/>
        <w:tblLook w:val="04A0" w:firstRow="1" w:lastRow="0" w:firstColumn="1" w:lastColumn="0" w:noHBand="0" w:noVBand="1"/>
      </w:tblPr>
      <w:tblGrid>
        <w:gridCol w:w="1446"/>
        <w:gridCol w:w="1209"/>
        <w:gridCol w:w="1537"/>
        <w:gridCol w:w="1368"/>
        <w:gridCol w:w="1328"/>
        <w:gridCol w:w="1408"/>
      </w:tblGrid>
      <w:tr w:rsidR="00B0349A">
        <w:trPr>
          <w:trHeight w:val="604"/>
        </w:trPr>
        <w:tc>
          <w:tcPr>
            <w:tcW w:w="1451" w:type="dxa"/>
            <w:vAlign w:val="center"/>
          </w:tcPr>
          <w:p w:rsidR="00B0349A" w:rsidRDefault="005E5406">
            <w:pPr>
              <w:spacing w:line="300" w:lineRule="exact"/>
              <w:jc w:val="center"/>
              <w:rPr>
                <w:rFonts w:ascii="仿宋" w:eastAsia="仿宋" w:hAnsi="仿宋" w:cs="仿宋"/>
                <w:sz w:val="24"/>
              </w:rPr>
            </w:pPr>
            <w:r>
              <w:rPr>
                <w:rFonts w:ascii="仿宋" w:eastAsia="仿宋" w:hAnsi="仿宋" w:cs="仿宋" w:hint="eastAsia"/>
                <w:sz w:val="24"/>
              </w:rPr>
              <w:t>年份</w:t>
            </w:r>
          </w:p>
        </w:tc>
        <w:tc>
          <w:tcPr>
            <w:tcW w:w="1210" w:type="dxa"/>
            <w:vAlign w:val="center"/>
          </w:tcPr>
          <w:p w:rsidR="00B0349A" w:rsidRDefault="005E5406">
            <w:pPr>
              <w:spacing w:line="300" w:lineRule="exact"/>
              <w:jc w:val="center"/>
              <w:rPr>
                <w:rFonts w:ascii="仿宋" w:eastAsia="仿宋" w:hAnsi="仿宋" w:cs="仿宋"/>
                <w:sz w:val="24"/>
              </w:rPr>
            </w:pPr>
            <w:r>
              <w:rPr>
                <w:rFonts w:ascii="仿宋" w:eastAsia="仿宋" w:hAnsi="仿宋" w:cs="仿宋" w:hint="eastAsia"/>
                <w:sz w:val="24"/>
              </w:rPr>
              <w:t>2015年</w:t>
            </w:r>
          </w:p>
        </w:tc>
        <w:tc>
          <w:tcPr>
            <w:tcW w:w="1540" w:type="dxa"/>
            <w:vAlign w:val="center"/>
          </w:tcPr>
          <w:p w:rsidR="00B0349A" w:rsidRDefault="005E5406">
            <w:pPr>
              <w:spacing w:line="300" w:lineRule="exact"/>
              <w:jc w:val="center"/>
              <w:rPr>
                <w:rFonts w:ascii="仿宋" w:eastAsia="仿宋" w:hAnsi="仿宋" w:cs="仿宋"/>
                <w:sz w:val="24"/>
              </w:rPr>
            </w:pPr>
            <w:r>
              <w:rPr>
                <w:rFonts w:ascii="仿宋" w:eastAsia="仿宋" w:hAnsi="仿宋" w:cs="仿宋" w:hint="eastAsia"/>
                <w:sz w:val="24"/>
              </w:rPr>
              <w:t>2016年</w:t>
            </w:r>
          </w:p>
        </w:tc>
        <w:tc>
          <w:tcPr>
            <w:tcW w:w="1370" w:type="dxa"/>
            <w:vAlign w:val="center"/>
          </w:tcPr>
          <w:p w:rsidR="00B0349A" w:rsidRDefault="005E5406">
            <w:pPr>
              <w:spacing w:line="300" w:lineRule="exact"/>
              <w:jc w:val="center"/>
              <w:rPr>
                <w:rFonts w:ascii="仿宋" w:eastAsia="仿宋" w:hAnsi="仿宋" w:cs="仿宋"/>
                <w:sz w:val="24"/>
              </w:rPr>
            </w:pPr>
            <w:r>
              <w:rPr>
                <w:rFonts w:ascii="仿宋" w:eastAsia="仿宋" w:hAnsi="仿宋" w:cs="仿宋" w:hint="eastAsia"/>
                <w:sz w:val="24"/>
              </w:rPr>
              <w:t>2017年</w:t>
            </w:r>
          </w:p>
        </w:tc>
        <w:tc>
          <w:tcPr>
            <w:tcW w:w="1330" w:type="dxa"/>
            <w:vAlign w:val="center"/>
          </w:tcPr>
          <w:p w:rsidR="00B0349A" w:rsidRDefault="005E5406">
            <w:pPr>
              <w:spacing w:line="300" w:lineRule="exact"/>
              <w:jc w:val="center"/>
              <w:rPr>
                <w:rFonts w:ascii="仿宋" w:eastAsia="仿宋" w:hAnsi="仿宋" w:cs="仿宋"/>
                <w:sz w:val="24"/>
              </w:rPr>
            </w:pPr>
            <w:r>
              <w:rPr>
                <w:rFonts w:ascii="仿宋" w:eastAsia="仿宋" w:hAnsi="仿宋" w:cs="仿宋" w:hint="eastAsia"/>
                <w:sz w:val="24"/>
              </w:rPr>
              <w:t>2018年</w:t>
            </w:r>
          </w:p>
        </w:tc>
        <w:tc>
          <w:tcPr>
            <w:tcW w:w="1410" w:type="dxa"/>
            <w:vAlign w:val="center"/>
          </w:tcPr>
          <w:p w:rsidR="00B0349A" w:rsidRDefault="005E5406">
            <w:pPr>
              <w:spacing w:line="300" w:lineRule="exact"/>
              <w:jc w:val="center"/>
              <w:rPr>
                <w:rFonts w:ascii="仿宋" w:eastAsia="仿宋" w:hAnsi="仿宋" w:cs="仿宋"/>
                <w:sz w:val="24"/>
              </w:rPr>
            </w:pPr>
            <w:r>
              <w:rPr>
                <w:rFonts w:ascii="仿宋" w:eastAsia="仿宋" w:hAnsi="仿宋" w:cs="仿宋" w:hint="eastAsia"/>
                <w:sz w:val="24"/>
              </w:rPr>
              <w:t>2019年</w:t>
            </w:r>
          </w:p>
        </w:tc>
      </w:tr>
      <w:tr w:rsidR="00B0349A">
        <w:tc>
          <w:tcPr>
            <w:tcW w:w="1451" w:type="dxa"/>
            <w:vAlign w:val="center"/>
          </w:tcPr>
          <w:p w:rsidR="00B0349A" w:rsidRDefault="005E5406">
            <w:pPr>
              <w:spacing w:line="300" w:lineRule="exact"/>
              <w:jc w:val="center"/>
              <w:rPr>
                <w:rFonts w:ascii="仿宋" w:eastAsia="仿宋" w:hAnsi="仿宋" w:cs="仿宋"/>
                <w:sz w:val="24"/>
              </w:rPr>
            </w:pPr>
            <w:r>
              <w:rPr>
                <w:rFonts w:ascii="仿宋" w:eastAsia="仿宋" w:hAnsi="仿宋" w:cs="仿宋" w:hint="eastAsia"/>
                <w:sz w:val="24"/>
              </w:rPr>
              <w:t>销量（万辆）</w:t>
            </w:r>
          </w:p>
        </w:tc>
        <w:tc>
          <w:tcPr>
            <w:tcW w:w="1210" w:type="dxa"/>
            <w:vAlign w:val="center"/>
          </w:tcPr>
          <w:p w:rsidR="00B0349A" w:rsidRDefault="005E5406">
            <w:pPr>
              <w:spacing w:line="300" w:lineRule="exact"/>
              <w:jc w:val="center"/>
              <w:rPr>
                <w:rFonts w:ascii="仿宋" w:eastAsia="仿宋" w:hAnsi="仿宋" w:cs="仿宋"/>
                <w:sz w:val="24"/>
              </w:rPr>
            </w:pPr>
            <w:r>
              <w:rPr>
                <w:rFonts w:ascii="仿宋" w:eastAsia="仿宋" w:hAnsi="仿宋" w:cs="仿宋" w:hint="eastAsia"/>
                <w:sz w:val="24"/>
              </w:rPr>
              <w:t>2459.8</w:t>
            </w:r>
          </w:p>
        </w:tc>
        <w:tc>
          <w:tcPr>
            <w:tcW w:w="1540" w:type="dxa"/>
            <w:vAlign w:val="center"/>
          </w:tcPr>
          <w:p w:rsidR="00B0349A" w:rsidRDefault="005E5406">
            <w:pPr>
              <w:spacing w:line="300" w:lineRule="exact"/>
              <w:jc w:val="center"/>
              <w:rPr>
                <w:rFonts w:ascii="仿宋" w:eastAsia="仿宋" w:hAnsi="仿宋" w:cs="仿宋"/>
                <w:sz w:val="24"/>
              </w:rPr>
            </w:pPr>
            <w:r>
              <w:rPr>
                <w:rFonts w:ascii="仿宋" w:eastAsia="仿宋" w:hAnsi="仿宋" w:cs="仿宋" w:hint="eastAsia"/>
                <w:sz w:val="24"/>
              </w:rPr>
              <w:t>2802.8</w:t>
            </w:r>
          </w:p>
        </w:tc>
        <w:tc>
          <w:tcPr>
            <w:tcW w:w="1370" w:type="dxa"/>
            <w:vAlign w:val="center"/>
          </w:tcPr>
          <w:p w:rsidR="00B0349A" w:rsidRDefault="005E5406">
            <w:pPr>
              <w:spacing w:line="300" w:lineRule="exact"/>
              <w:jc w:val="center"/>
              <w:rPr>
                <w:rFonts w:ascii="仿宋" w:eastAsia="仿宋" w:hAnsi="仿宋" w:cs="仿宋"/>
                <w:sz w:val="24"/>
              </w:rPr>
            </w:pPr>
            <w:r>
              <w:rPr>
                <w:rFonts w:ascii="仿宋" w:eastAsia="仿宋" w:hAnsi="仿宋" w:cs="仿宋" w:hint="eastAsia"/>
                <w:sz w:val="24"/>
              </w:rPr>
              <w:t>2887.9</w:t>
            </w:r>
          </w:p>
        </w:tc>
        <w:tc>
          <w:tcPr>
            <w:tcW w:w="1330" w:type="dxa"/>
            <w:vAlign w:val="center"/>
          </w:tcPr>
          <w:p w:rsidR="00B0349A" w:rsidRDefault="005E5406">
            <w:pPr>
              <w:spacing w:line="300" w:lineRule="exact"/>
              <w:jc w:val="center"/>
              <w:rPr>
                <w:rFonts w:ascii="仿宋" w:eastAsia="仿宋" w:hAnsi="仿宋" w:cs="仿宋"/>
                <w:sz w:val="24"/>
              </w:rPr>
            </w:pPr>
            <w:r>
              <w:rPr>
                <w:rFonts w:ascii="仿宋" w:eastAsia="仿宋" w:hAnsi="仿宋" w:cs="仿宋" w:hint="eastAsia"/>
                <w:sz w:val="24"/>
              </w:rPr>
              <w:t>2808.1</w:t>
            </w:r>
          </w:p>
        </w:tc>
        <w:tc>
          <w:tcPr>
            <w:tcW w:w="1410" w:type="dxa"/>
            <w:vAlign w:val="center"/>
          </w:tcPr>
          <w:p w:rsidR="00B0349A" w:rsidRDefault="005E5406">
            <w:pPr>
              <w:spacing w:line="300" w:lineRule="exact"/>
              <w:jc w:val="center"/>
              <w:rPr>
                <w:rFonts w:ascii="仿宋" w:eastAsia="仿宋" w:hAnsi="仿宋" w:cs="仿宋"/>
                <w:sz w:val="24"/>
              </w:rPr>
            </w:pPr>
            <w:r>
              <w:rPr>
                <w:rFonts w:ascii="仿宋" w:eastAsia="仿宋" w:hAnsi="仿宋" w:cs="仿宋" w:hint="eastAsia"/>
                <w:sz w:val="24"/>
              </w:rPr>
              <w:t>2576.9</w:t>
            </w:r>
          </w:p>
        </w:tc>
      </w:tr>
      <w:tr w:rsidR="00B0349A">
        <w:tc>
          <w:tcPr>
            <w:tcW w:w="1451" w:type="dxa"/>
            <w:vAlign w:val="center"/>
          </w:tcPr>
          <w:p w:rsidR="00B0349A" w:rsidRDefault="005E5406">
            <w:pPr>
              <w:spacing w:line="300" w:lineRule="exact"/>
              <w:jc w:val="center"/>
              <w:rPr>
                <w:rFonts w:ascii="仿宋" w:eastAsia="仿宋" w:hAnsi="仿宋" w:cs="仿宋"/>
                <w:sz w:val="24"/>
              </w:rPr>
            </w:pPr>
            <w:r>
              <w:rPr>
                <w:rFonts w:ascii="仿宋" w:eastAsia="仿宋" w:hAnsi="仿宋" w:cs="仿宋" w:hint="eastAsia"/>
                <w:sz w:val="24"/>
              </w:rPr>
              <w:t>出口（万辆）</w:t>
            </w:r>
          </w:p>
        </w:tc>
        <w:tc>
          <w:tcPr>
            <w:tcW w:w="1210" w:type="dxa"/>
            <w:vAlign w:val="center"/>
          </w:tcPr>
          <w:p w:rsidR="00B0349A" w:rsidRDefault="005E5406">
            <w:pPr>
              <w:spacing w:line="300" w:lineRule="exact"/>
              <w:jc w:val="center"/>
              <w:rPr>
                <w:rFonts w:ascii="仿宋" w:eastAsia="仿宋" w:hAnsi="仿宋" w:cs="仿宋"/>
                <w:sz w:val="24"/>
              </w:rPr>
            </w:pPr>
            <w:r>
              <w:rPr>
                <w:rFonts w:ascii="仿宋" w:eastAsia="仿宋" w:hAnsi="仿宋" w:cs="仿宋" w:hint="eastAsia"/>
                <w:sz w:val="24"/>
              </w:rPr>
              <w:t>72.8</w:t>
            </w:r>
          </w:p>
        </w:tc>
        <w:tc>
          <w:tcPr>
            <w:tcW w:w="1540" w:type="dxa"/>
            <w:vAlign w:val="center"/>
          </w:tcPr>
          <w:p w:rsidR="00B0349A" w:rsidRDefault="005E5406">
            <w:pPr>
              <w:spacing w:line="300" w:lineRule="exact"/>
              <w:jc w:val="center"/>
              <w:rPr>
                <w:rFonts w:ascii="仿宋" w:eastAsia="仿宋" w:hAnsi="仿宋" w:cs="仿宋"/>
                <w:sz w:val="24"/>
              </w:rPr>
            </w:pPr>
            <w:r>
              <w:rPr>
                <w:rFonts w:ascii="仿宋" w:eastAsia="仿宋" w:hAnsi="仿宋" w:cs="仿宋" w:hint="eastAsia"/>
                <w:sz w:val="24"/>
              </w:rPr>
              <w:t>70.8</w:t>
            </w:r>
          </w:p>
        </w:tc>
        <w:tc>
          <w:tcPr>
            <w:tcW w:w="1370" w:type="dxa"/>
            <w:vAlign w:val="center"/>
          </w:tcPr>
          <w:p w:rsidR="00B0349A" w:rsidRDefault="005E5406">
            <w:pPr>
              <w:spacing w:line="300" w:lineRule="exact"/>
              <w:jc w:val="center"/>
              <w:rPr>
                <w:rFonts w:ascii="仿宋" w:eastAsia="仿宋" w:hAnsi="仿宋" w:cs="仿宋"/>
                <w:sz w:val="24"/>
              </w:rPr>
            </w:pPr>
            <w:r>
              <w:rPr>
                <w:rFonts w:ascii="仿宋" w:eastAsia="仿宋" w:hAnsi="仿宋" w:cs="仿宋" w:hint="eastAsia"/>
                <w:sz w:val="24"/>
              </w:rPr>
              <w:t>89.1</w:t>
            </w:r>
          </w:p>
        </w:tc>
        <w:tc>
          <w:tcPr>
            <w:tcW w:w="1330" w:type="dxa"/>
            <w:vAlign w:val="center"/>
          </w:tcPr>
          <w:p w:rsidR="00B0349A" w:rsidRDefault="005E5406">
            <w:pPr>
              <w:spacing w:line="300" w:lineRule="exact"/>
              <w:jc w:val="center"/>
              <w:rPr>
                <w:rFonts w:ascii="仿宋" w:eastAsia="仿宋" w:hAnsi="仿宋" w:cs="仿宋"/>
                <w:sz w:val="24"/>
              </w:rPr>
            </w:pPr>
            <w:r>
              <w:rPr>
                <w:rFonts w:ascii="仿宋" w:eastAsia="仿宋" w:hAnsi="仿宋" w:cs="仿宋" w:hint="eastAsia"/>
                <w:sz w:val="24"/>
              </w:rPr>
              <w:t>104.1</w:t>
            </w:r>
          </w:p>
        </w:tc>
        <w:tc>
          <w:tcPr>
            <w:tcW w:w="1410" w:type="dxa"/>
            <w:vAlign w:val="center"/>
          </w:tcPr>
          <w:p w:rsidR="00B0349A" w:rsidRDefault="005E5406">
            <w:pPr>
              <w:spacing w:line="300" w:lineRule="exact"/>
              <w:jc w:val="center"/>
              <w:rPr>
                <w:rFonts w:ascii="仿宋" w:eastAsia="仿宋" w:hAnsi="仿宋" w:cs="仿宋"/>
                <w:sz w:val="24"/>
              </w:rPr>
            </w:pPr>
            <w:r>
              <w:rPr>
                <w:rFonts w:ascii="仿宋" w:eastAsia="仿宋" w:hAnsi="仿宋" w:cs="仿宋" w:hint="eastAsia"/>
                <w:sz w:val="24"/>
              </w:rPr>
              <w:t>102.4</w:t>
            </w:r>
          </w:p>
        </w:tc>
      </w:tr>
      <w:tr w:rsidR="00B0349A">
        <w:tc>
          <w:tcPr>
            <w:tcW w:w="1451" w:type="dxa"/>
            <w:vAlign w:val="center"/>
          </w:tcPr>
          <w:p w:rsidR="00B0349A" w:rsidRDefault="005E5406">
            <w:pPr>
              <w:spacing w:line="300" w:lineRule="exact"/>
              <w:jc w:val="center"/>
              <w:rPr>
                <w:rFonts w:ascii="仿宋" w:eastAsia="仿宋" w:hAnsi="仿宋" w:cs="仿宋"/>
                <w:sz w:val="24"/>
              </w:rPr>
            </w:pPr>
            <w:r>
              <w:rPr>
                <w:rFonts w:ascii="仿宋" w:eastAsia="仿宋" w:hAnsi="仿宋" w:cs="仿宋" w:hint="eastAsia"/>
                <w:sz w:val="24"/>
              </w:rPr>
              <w:t>出口占比</w:t>
            </w:r>
          </w:p>
        </w:tc>
        <w:tc>
          <w:tcPr>
            <w:tcW w:w="1210" w:type="dxa"/>
            <w:vAlign w:val="center"/>
          </w:tcPr>
          <w:p w:rsidR="00B0349A" w:rsidRDefault="005E5406">
            <w:pPr>
              <w:spacing w:line="300" w:lineRule="exact"/>
              <w:jc w:val="center"/>
              <w:rPr>
                <w:rFonts w:ascii="仿宋" w:eastAsia="仿宋" w:hAnsi="仿宋" w:cs="仿宋"/>
                <w:sz w:val="24"/>
              </w:rPr>
            </w:pPr>
            <w:r>
              <w:rPr>
                <w:rFonts w:ascii="仿宋" w:eastAsia="仿宋" w:hAnsi="仿宋" w:cs="仿宋" w:hint="eastAsia"/>
                <w:sz w:val="24"/>
              </w:rPr>
              <w:t>2.96%</w:t>
            </w:r>
          </w:p>
        </w:tc>
        <w:tc>
          <w:tcPr>
            <w:tcW w:w="1540" w:type="dxa"/>
            <w:vAlign w:val="center"/>
          </w:tcPr>
          <w:p w:rsidR="00B0349A" w:rsidRDefault="005E5406">
            <w:pPr>
              <w:spacing w:line="300" w:lineRule="exact"/>
              <w:jc w:val="center"/>
              <w:rPr>
                <w:rFonts w:ascii="仿宋" w:eastAsia="仿宋" w:hAnsi="仿宋" w:cs="仿宋"/>
                <w:sz w:val="24"/>
              </w:rPr>
            </w:pPr>
            <w:r>
              <w:rPr>
                <w:rFonts w:ascii="仿宋" w:eastAsia="仿宋" w:hAnsi="仿宋" w:cs="仿宋" w:hint="eastAsia"/>
                <w:sz w:val="24"/>
              </w:rPr>
              <w:t>2.53%</w:t>
            </w:r>
          </w:p>
        </w:tc>
        <w:tc>
          <w:tcPr>
            <w:tcW w:w="1370" w:type="dxa"/>
            <w:vAlign w:val="center"/>
          </w:tcPr>
          <w:p w:rsidR="00B0349A" w:rsidRDefault="005E5406">
            <w:pPr>
              <w:spacing w:line="300" w:lineRule="exact"/>
              <w:jc w:val="center"/>
              <w:rPr>
                <w:rFonts w:ascii="仿宋" w:eastAsia="仿宋" w:hAnsi="仿宋" w:cs="仿宋"/>
                <w:sz w:val="24"/>
              </w:rPr>
            </w:pPr>
            <w:r>
              <w:rPr>
                <w:rFonts w:ascii="仿宋" w:eastAsia="仿宋" w:hAnsi="仿宋" w:cs="仿宋" w:hint="eastAsia"/>
                <w:sz w:val="24"/>
              </w:rPr>
              <w:t>3.09%</w:t>
            </w:r>
          </w:p>
        </w:tc>
        <w:tc>
          <w:tcPr>
            <w:tcW w:w="1330" w:type="dxa"/>
            <w:vAlign w:val="center"/>
          </w:tcPr>
          <w:p w:rsidR="00B0349A" w:rsidRDefault="005E5406">
            <w:pPr>
              <w:spacing w:line="300" w:lineRule="exact"/>
              <w:jc w:val="center"/>
              <w:rPr>
                <w:rFonts w:ascii="仿宋" w:eastAsia="仿宋" w:hAnsi="仿宋" w:cs="仿宋"/>
                <w:sz w:val="24"/>
              </w:rPr>
            </w:pPr>
            <w:r>
              <w:rPr>
                <w:rFonts w:ascii="仿宋" w:eastAsia="仿宋" w:hAnsi="仿宋" w:cs="仿宋" w:hint="eastAsia"/>
                <w:sz w:val="24"/>
              </w:rPr>
              <w:t>3.71%</w:t>
            </w:r>
          </w:p>
        </w:tc>
        <w:tc>
          <w:tcPr>
            <w:tcW w:w="1410" w:type="dxa"/>
            <w:vAlign w:val="center"/>
          </w:tcPr>
          <w:p w:rsidR="00B0349A" w:rsidRDefault="005E5406">
            <w:pPr>
              <w:spacing w:line="300" w:lineRule="exact"/>
              <w:jc w:val="center"/>
              <w:rPr>
                <w:rFonts w:ascii="仿宋" w:eastAsia="仿宋" w:hAnsi="仿宋" w:cs="仿宋"/>
                <w:sz w:val="24"/>
              </w:rPr>
            </w:pPr>
            <w:r>
              <w:rPr>
                <w:rFonts w:ascii="仿宋" w:eastAsia="仿宋" w:hAnsi="仿宋" w:cs="仿宋" w:hint="eastAsia"/>
                <w:sz w:val="24"/>
              </w:rPr>
              <w:t>3.97%</w:t>
            </w:r>
          </w:p>
        </w:tc>
      </w:tr>
    </w:tbl>
    <w:p w:rsidR="00B0349A" w:rsidRDefault="005E5406">
      <w:pPr>
        <w:spacing w:beforeLines="50" w:before="156"/>
        <w:rPr>
          <w:rFonts w:ascii="仿宋" w:eastAsia="仿宋" w:hAnsi="仿宋" w:cs="仿宋"/>
          <w:sz w:val="24"/>
        </w:rPr>
      </w:pPr>
      <w:r>
        <w:rPr>
          <w:rFonts w:ascii="仿宋" w:eastAsia="仿宋" w:hAnsi="仿宋" w:cs="仿宋" w:hint="eastAsia"/>
          <w:sz w:val="24"/>
        </w:rPr>
        <w:t>数据来源：中国汽车工业协会</w:t>
      </w:r>
    </w:p>
    <w:p w:rsidR="00B0349A" w:rsidRDefault="00B0349A">
      <w:pPr>
        <w:rPr>
          <w:rFonts w:ascii="仿宋" w:eastAsia="仿宋" w:hAnsi="仿宋" w:cs="仿宋"/>
          <w:sz w:val="24"/>
        </w:rPr>
      </w:pPr>
    </w:p>
    <w:p w:rsidR="00B0349A" w:rsidRDefault="005E5406">
      <w:pPr>
        <w:rPr>
          <w:rFonts w:ascii="仿宋" w:eastAsia="仿宋" w:hAnsi="仿宋" w:cs="仿宋"/>
          <w:b/>
          <w:bCs/>
          <w:sz w:val="28"/>
          <w:szCs w:val="28"/>
        </w:rPr>
      </w:pPr>
      <w:r>
        <w:rPr>
          <w:rFonts w:ascii="仿宋" w:eastAsia="仿宋" w:hAnsi="仿宋" w:cs="仿宋" w:hint="eastAsia"/>
          <w:b/>
          <w:bCs/>
          <w:sz w:val="28"/>
          <w:szCs w:val="28"/>
        </w:rPr>
        <w:t>主要国家近年汽车出口占比</w:t>
      </w:r>
    </w:p>
    <w:tbl>
      <w:tblPr>
        <w:tblStyle w:val="a7"/>
        <w:tblW w:w="8510" w:type="dxa"/>
        <w:tblInd w:w="-99" w:type="dxa"/>
        <w:tblLayout w:type="fixed"/>
        <w:tblLook w:val="04A0" w:firstRow="1" w:lastRow="0" w:firstColumn="1" w:lastColumn="0" w:noHBand="0" w:noVBand="1"/>
      </w:tblPr>
      <w:tblGrid>
        <w:gridCol w:w="1240"/>
        <w:gridCol w:w="890"/>
        <w:gridCol w:w="890"/>
        <w:gridCol w:w="860"/>
        <w:gridCol w:w="890"/>
        <w:gridCol w:w="1030"/>
        <w:gridCol w:w="890"/>
        <w:gridCol w:w="950"/>
        <w:gridCol w:w="870"/>
      </w:tblGrid>
      <w:tr w:rsidR="00B0349A">
        <w:trPr>
          <w:trHeight w:val="280"/>
        </w:trPr>
        <w:tc>
          <w:tcPr>
            <w:tcW w:w="1240" w:type="dxa"/>
            <w:vAlign w:val="center"/>
          </w:tcPr>
          <w:p w:rsidR="00B0349A" w:rsidRDefault="005E5406">
            <w:pPr>
              <w:spacing w:line="360" w:lineRule="auto"/>
              <w:jc w:val="center"/>
              <w:rPr>
                <w:rFonts w:ascii="仿宋" w:eastAsia="仿宋" w:hAnsi="仿宋" w:cs="仿宋"/>
                <w:sz w:val="24"/>
              </w:rPr>
            </w:pPr>
            <w:r>
              <w:rPr>
                <w:rFonts w:ascii="仿宋" w:eastAsia="仿宋" w:hAnsi="仿宋" w:cs="仿宋" w:hint="eastAsia"/>
                <w:sz w:val="24"/>
              </w:rPr>
              <w:t>主要国家</w:t>
            </w:r>
          </w:p>
        </w:tc>
        <w:tc>
          <w:tcPr>
            <w:tcW w:w="890" w:type="dxa"/>
            <w:vAlign w:val="center"/>
          </w:tcPr>
          <w:p w:rsidR="00B0349A" w:rsidRDefault="005E5406">
            <w:pPr>
              <w:spacing w:line="360" w:lineRule="auto"/>
              <w:jc w:val="center"/>
              <w:rPr>
                <w:rFonts w:ascii="仿宋" w:eastAsia="仿宋" w:hAnsi="仿宋" w:cs="仿宋"/>
                <w:sz w:val="24"/>
              </w:rPr>
            </w:pPr>
            <w:r>
              <w:rPr>
                <w:rFonts w:ascii="仿宋" w:eastAsia="仿宋" w:hAnsi="仿宋" w:cs="仿宋" w:hint="eastAsia"/>
                <w:sz w:val="24"/>
              </w:rPr>
              <w:t>德国</w:t>
            </w:r>
          </w:p>
        </w:tc>
        <w:tc>
          <w:tcPr>
            <w:tcW w:w="890" w:type="dxa"/>
            <w:vAlign w:val="center"/>
          </w:tcPr>
          <w:p w:rsidR="00B0349A" w:rsidRDefault="005E5406">
            <w:pPr>
              <w:spacing w:line="360" w:lineRule="auto"/>
              <w:jc w:val="center"/>
              <w:rPr>
                <w:rFonts w:ascii="仿宋" w:eastAsia="仿宋" w:hAnsi="仿宋" w:cs="仿宋"/>
                <w:sz w:val="24"/>
              </w:rPr>
            </w:pPr>
            <w:r>
              <w:rPr>
                <w:rFonts w:ascii="仿宋" w:eastAsia="仿宋" w:hAnsi="仿宋" w:cs="仿宋" w:hint="eastAsia"/>
                <w:sz w:val="24"/>
              </w:rPr>
              <w:t>日本</w:t>
            </w:r>
          </w:p>
        </w:tc>
        <w:tc>
          <w:tcPr>
            <w:tcW w:w="860" w:type="dxa"/>
            <w:vAlign w:val="center"/>
          </w:tcPr>
          <w:p w:rsidR="00B0349A" w:rsidRDefault="005E5406">
            <w:pPr>
              <w:spacing w:line="360" w:lineRule="auto"/>
              <w:jc w:val="center"/>
              <w:rPr>
                <w:rFonts w:ascii="仿宋" w:eastAsia="仿宋" w:hAnsi="仿宋" w:cs="仿宋"/>
                <w:sz w:val="24"/>
              </w:rPr>
            </w:pPr>
            <w:r>
              <w:rPr>
                <w:rFonts w:ascii="仿宋" w:eastAsia="仿宋" w:hAnsi="仿宋" w:cs="仿宋" w:hint="eastAsia"/>
                <w:sz w:val="24"/>
              </w:rPr>
              <w:t>美国</w:t>
            </w:r>
          </w:p>
        </w:tc>
        <w:tc>
          <w:tcPr>
            <w:tcW w:w="890" w:type="dxa"/>
            <w:vAlign w:val="center"/>
          </w:tcPr>
          <w:p w:rsidR="00B0349A" w:rsidRDefault="005E5406">
            <w:pPr>
              <w:spacing w:line="360" w:lineRule="auto"/>
              <w:jc w:val="center"/>
              <w:rPr>
                <w:rFonts w:ascii="仿宋" w:eastAsia="仿宋" w:hAnsi="仿宋" w:cs="仿宋"/>
                <w:sz w:val="24"/>
              </w:rPr>
            </w:pPr>
            <w:r>
              <w:rPr>
                <w:rFonts w:ascii="仿宋" w:eastAsia="仿宋" w:hAnsi="仿宋" w:cs="仿宋" w:hint="eastAsia"/>
                <w:sz w:val="24"/>
              </w:rPr>
              <w:t>韩国</w:t>
            </w:r>
          </w:p>
        </w:tc>
        <w:tc>
          <w:tcPr>
            <w:tcW w:w="1030" w:type="dxa"/>
            <w:vAlign w:val="center"/>
          </w:tcPr>
          <w:p w:rsidR="00B0349A" w:rsidRDefault="005E5406">
            <w:pPr>
              <w:spacing w:line="360" w:lineRule="auto"/>
              <w:jc w:val="center"/>
              <w:rPr>
                <w:rFonts w:ascii="仿宋" w:eastAsia="仿宋" w:hAnsi="仿宋" w:cs="仿宋"/>
                <w:sz w:val="24"/>
              </w:rPr>
            </w:pPr>
            <w:r>
              <w:rPr>
                <w:rFonts w:ascii="仿宋" w:eastAsia="仿宋" w:hAnsi="仿宋" w:cs="仿宋" w:hint="eastAsia"/>
                <w:sz w:val="24"/>
              </w:rPr>
              <w:t>意大利</w:t>
            </w:r>
          </w:p>
        </w:tc>
        <w:tc>
          <w:tcPr>
            <w:tcW w:w="890" w:type="dxa"/>
            <w:vAlign w:val="center"/>
          </w:tcPr>
          <w:p w:rsidR="00B0349A" w:rsidRDefault="005E5406">
            <w:pPr>
              <w:spacing w:line="360" w:lineRule="auto"/>
              <w:jc w:val="center"/>
              <w:rPr>
                <w:rFonts w:ascii="仿宋" w:eastAsia="仿宋" w:hAnsi="仿宋" w:cs="仿宋"/>
                <w:sz w:val="24"/>
              </w:rPr>
            </w:pPr>
            <w:r>
              <w:rPr>
                <w:rFonts w:ascii="仿宋" w:eastAsia="仿宋" w:hAnsi="仿宋" w:cs="仿宋" w:hint="eastAsia"/>
                <w:sz w:val="24"/>
              </w:rPr>
              <w:t>英国</w:t>
            </w:r>
          </w:p>
        </w:tc>
        <w:tc>
          <w:tcPr>
            <w:tcW w:w="950" w:type="dxa"/>
            <w:vAlign w:val="center"/>
          </w:tcPr>
          <w:p w:rsidR="00B0349A" w:rsidRDefault="005E5406">
            <w:pPr>
              <w:spacing w:line="360" w:lineRule="auto"/>
              <w:jc w:val="center"/>
              <w:rPr>
                <w:rFonts w:ascii="仿宋" w:eastAsia="仿宋" w:hAnsi="仿宋" w:cs="仿宋"/>
                <w:sz w:val="24"/>
              </w:rPr>
            </w:pPr>
            <w:r>
              <w:rPr>
                <w:rFonts w:ascii="仿宋" w:eastAsia="仿宋" w:hAnsi="仿宋" w:cs="仿宋" w:hint="eastAsia"/>
                <w:sz w:val="24"/>
              </w:rPr>
              <w:t>俄罗斯</w:t>
            </w:r>
          </w:p>
        </w:tc>
        <w:tc>
          <w:tcPr>
            <w:tcW w:w="870" w:type="dxa"/>
            <w:vAlign w:val="center"/>
          </w:tcPr>
          <w:p w:rsidR="00B0349A" w:rsidRDefault="005E5406">
            <w:pPr>
              <w:spacing w:line="360" w:lineRule="auto"/>
              <w:jc w:val="center"/>
              <w:rPr>
                <w:rFonts w:ascii="仿宋" w:eastAsia="仿宋" w:hAnsi="仿宋" w:cs="仿宋"/>
                <w:sz w:val="24"/>
              </w:rPr>
            </w:pPr>
            <w:r>
              <w:rPr>
                <w:rFonts w:ascii="仿宋" w:eastAsia="仿宋" w:hAnsi="仿宋" w:cs="仿宋" w:hint="eastAsia"/>
                <w:sz w:val="24"/>
              </w:rPr>
              <w:t>印度</w:t>
            </w:r>
          </w:p>
        </w:tc>
      </w:tr>
      <w:tr w:rsidR="00B0349A">
        <w:tc>
          <w:tcPr>
            <w:tcW w:w="1240" w:type="dxa"/>
            <w:vAlign w:val="center"/>
          </w:tcPr>
          <w:p w:rsidR="00B0349A" w:rsidRDefault="005E5406">
            <w:pPr>
              <w:spacing w:line="360" w:lineRule="auto"/>
              <w:jc w:val="center"/>
              <w:rPr>
                <w:rFonts w:ascii="仿宋" w:eastAsia="仿宋" w:hAnsi="仿宋" w:cs="仿宋"/>
                <w:sz w:val="24"/>
              </w:rPr>
            </w:pPr>
            <w:r>
              <w:rPr>
                <w:rFonts w:ascii="仿宋" w:eastAsia="仿宋" w:hAnsi="仿宋" w:cs="仿宋" w:hint="eastAsia"/>
                <w:sz w:val="24"/>
              </w:rPr>
              <w:t>出口占比</w:t>
            </w:r>
          </w:p>
        </w:tc>
        <w:tc>
          <w:tcPr>
            <w:tcW w:w="890" w:type="dxa"/>
            <w:vAlign w:val="center"/>
          </w:tcPr>
          <w:p w:rsidR="00B0349A" w:rsidRDefault="005E5406">
            <w:pPr>
              <w:spacing w:line="360" w:lineRule="auto"/>
              <w:jc w:val="center"/>
              <w:rPr>
                <w:rFonts w:ascii="仿宋" w:eastAsia="仿宋" w:hAnsi="仿宋" w:cs="仿宋"/>
                <w:sz w:val="24"/>
              </w:rPr>
            </w:pPr>
            <w:r>
              <w:rPr>
                <w:rFonts w:ascii="仿宋" w:eastAsia="仿宋" w:hAnsi="仿宋" w:cs="仿宋" w:hint="eastAsia"/>
                <w:sz w:val="24"/>
              </w:rPr>
              <w:t>77.1%</w:t>
            </w:r>
          </w:p>
        </w:tc>
        <w:tc>
          <w:tcPr>
            <w:tcW w:w="890" w:type="dxa"/>
            <w:vAlign w:val="center"/>
          </w:tcPr>
          <w:p w:rsidR="00B0349A" w:rsidRDefault="005E5406">
            <w:pPr>
              <w:spacing w:line="360" w:lineRule="auto"/>
              <w:jc w:val="center"/>
              <w:rPr>
                <w:rFonts w:ascii="仿宋" w:eastAsia="仿宋" w:hAnsi="仿宋" w:cs="仿宋"/>
                <w:sz w:val="24"/>
              </w:rPr>
            </w:pPr>
            <w:r>
              <w:rPr>
                <w:rFonts w:ascii="仿宋" w:eastAsia="仿宋" w:hAnsi="仿宋" w:cs="仿宋" w:hint="eastAsia"/>
                <w:sz w:val="24"/>
              </w:rPr>
              <w:t>49.3%</w:t>
            </w:r>
          </w:p>
        </w:tc>
        <w:tc>
          <w:tcPr>
            <w:tcW w:w="860" w:type="dxa"/>
            <w:vAlign w:val="center"/>
          </w:tcPr>
          <w:p w:rsidR="00B0349A" w:rsidRDefault="005E5406">
            <w:pPr>
              <w:spacing w:line="360" w:lineRule="auto"/>
              <w:jc w:val="center"/>
              <w:rPr>
                <w:rFonts w:ascii="仿宋" w:eastAsia="仿宋" w:hAnsi="仿宋" w:cs="仿宋"/>
                <w:sz w:val="24"/>
              </w:rPr>
            </w:pPr>
            <w:r>
              <w:rPr>
                <w:rFonts w:ascii="仿宋" w:eastAsia="仿宋" w:hAnsi="仿宋" w:cs="仿宋" w:hint="eastAsia"/>
                <w:sz w:val="24"/>
              </w:rPr>
              <w:t>22.3%</w:t>
            </w:r>
          </w:p>
        </w:tc>
        <w:tc>
          <w:tcPr>
            <w:tcW w:w="890" w:type="dxa"/>
            <w:vAlign w:val="center"/>
          </w:tcPr>
          <w:p w:rsidR="00B0349A" w:rsidRDefault="005E5406">
            <w:pPr>
              <w:spacing w:line="360" w:lineRule="auto"/>
              <w:jc w:val="center"/>
              <w:rPr>
                <w:rFonts w:ascii="仿宋" w:eastAsia="仿宋" w:hAnsi="仿宋" w:cs="仿宋"/>
                <w:sz w:val="24"/>
              </w:rPr>
            </w:pPr>
            <w:r>
              <w:rPr>
                <w:rFonts w:ascii="仿宋" w:eastAsia="仿宋" w:hAnsi="仿宋" w:cs="仿宋" w:hint="eastAsia"/>
                <w:sz w:val="24"/>
              </w:rPr>
              <w:t>65.3%</w:t>
            </w:r>
          </w:p>
        </w:tc>
        <w:tc>
          <w:tcPr>
            <w:tcW w:w="1030" w:type="dxa"/>
            <w:vAlign w:val="center"/>
          </w:tcPr>
          <w:p w:rsidR="00B0349A" w:rsidRDefault="005E5406">
            <w:pPr>
              <w:spacing w:line="360" w:lineRule="auto"/>
              <w:jc w:val="center"/>
              <w:rPr>
                <w:rFonts w:ascii="仿宋" w:eastAsia="仿宋" w:hAnsi="仿宋" w:cs="仿宋"/>
                <w:sz w:val="24"/>
              </w:rPr>
            </w:pPr>
            <w:r>
              <w:rPr>
                <w:rFonts w:ascii="仿宋" w:eastAsia="仿宋" w:hAnsi="仿宋" w:cs="仿宋" w:hint="eastAsia"/>
                <w:sz w:val="24"/>
              </w:rPr>
              <w:t>66.9%</w:t>
            </w:r>
          </w:p>
        </w:tc>
        <w:tc>
          <w:tcPr>
            <w:tcW w:w="890" w:type="dxa"/>
            <w:vAlign w:val="center"/>
          </w:tcPr>
          <w:p w:rsidR="00B0349A" w:rsidRDefault="005E5406">
            <w:pPr>
              <w:spacing w:line="360" w:lineRule="auto"/>
              <w:jc w:val="center"/>
              <w:rPr>
                <w:rFonts w:ascii="仿宋" w:eastAsia="仿宋" w:hAnsi="仿宋" w:cs="仿宋"/>
                <w:sz w:val="24"/>
              </w:rPr>
            </w:pPr>
            <w:r>
              <w:rPr>
                <w:rFonts w:ascii="仿宋" w:eastAsia="仿宋" w:hAnsi="仿宋" w:cs="仿宋" w:hint="eastAsia"/>
                <w:sz w:val="24"/>
              </w:rPr>
              <w:t>75.8%</w:t>
            </w:r>
          </w:p>
        </w:tc>
        <w:tc>
          <w:tcPr>
            <w:tcW w:w="950" w:type="dxa"/>
            <w:vAlign w:val="center"/>
          </w:tcPr>
          <w:p w:rsidR="00B0349A" w:rsidRDefault="005E5406">
            <w:pPr>
              <w:spacing w:line="360" w:lineRule="auto"/>
              <w:jc w:val="center"/>
              <w:rPr>
                <w:rFonts w:ascii="仿宋" w:eastAsia="仿宋" w:hAnsi="仿宋" w:cs="仿宋"/>
                <w:sz w:val="24"/>
              </w:rPr>
            </w:pPr>
            <w:r>
              <w:rPr>
                <w:rFonts w:ascii="仿宋" w:eastAsia="仿宋" w:hAnsi="仿宋" w:cs="仿宋" w:hint="eastAsia"/>
                <w:sz w:val="24"/>
              </w:rPr>
              <w:t>2.5%</w:t>
            </w:r>
          </w:p>
        </w:tc>
        <w:tc>
          <w:tcPr>
            <w:tcW w:w="870" w:type="dxa"/>
            <w:vAlign w:val="center"/>
          </w:tcPr>
          <w:p w:rsidR="00B0349A" w:rsidRDefault="005E5406">
            <w:pPr>
              <w:spacing w:line="360" w:lineRule="auto"/>
              <w:jc w:val="center"/>
              <w:rPr>
                <w:rFonts w:ascii="仿宋" w:eastAsia="仿宋" w:hAnsi="仿宋" w:cs="仿宋"/>
                <w:sz w:val="24"/>
              </w:rPr>
            </w:pPr>
            <w:r>
              <w:rPr>
                <w:rFonts w:ascii="仿宋" w:eastAsia="仿宋" w:hAnsi="仿宋" w:cs="仿宋" w:hint="eastAsia"/>
                <w:sz w:val="24"/>
              </w:rPr>
              <w:t>17.5%</w:t>
            </w:r>
          </w:p>
        </w:tc>
      </w:tr>
    </w:tbl>
    <w:p w:rsidR="00B0349A" w:rsidRDefault="005E5406">
      <w:pPr>
        <w:spacing w:beforeLines="50" w:before="156"/>
        <w:rPr>
          <w:rFonts w:ascii="仿宋" w:eastAsia="仿宋" w:hAnsi="仿宋" w:cs="仿宋"/>
          <w:sz w:val="28"/>
          <w:szCs w:val="28"/>
        </w:rPr>
      </w:pPr>
      <w:r>
        <w:rPr>
          <w:rFonts w:ascii="仿宋" w:eastAsia="仿宋" w:hAnsi="仿宋" w:cs="仿宋" w:hint="eastAsia"/>
          <w:sz w:val="24"/>
        </w:rPr>
        <w:t>数据来源：公开资料整理数据</w:t>
      </w:r>
    </w:p>
    <w:p w:rsidR="00B0349A" w:rsidRDefault="005E5406">
      <w:pPr>
        <w:ind w:firstLineChars="200" w:firstLine="560"/>
        <w:rPr>
          <w:rFonts w:ascii="仿宋" w:eastAsia="仿宋" w:hAnsi="仿宋" w:cs="仿宋"/>
          <w:sz w:val="28"/>
          <w:szCs w:val="28"/>
        </w:rPr>
      </w:pPr>
      <w:r>
        <w:rPr>
          <w:rFonts w:ascii="仿宋" w:eastAsia="仿宋" w:hAnsi="仿宋" w:cs="仿宋" w:hint="eastAsia"/>
          <w:sz w:val="28"/>
          <w:szCs w:val="28"/>
        </w:rPr>
        <w:t>中国汽车企业出口规模和效益偏低的问题普遍存在，主要表现为海外业务收入占企业营业收入的比重不高。出口车辆相对低端、低价，出口车型结构较为单一，品牌溢价能力有限等是造成车企海外业务收入增长乏力的潜在因素。近年欧盟汽车出口平均单价约为2.5万美元，而中国汽车出口单价约为1.5万美元，采取低价</w:t>
      </w:r>
      <w:r w:rsidR="002945A6">
        <w:rPr>
          <w:rFonts w:ascii="仿宋" w:eastAsia="仿宋" w:hAnsi="仿宋" w:cs="仿宋" w:hint="eastAsia"/>
          <w:sz w:val="28"/>
          <w:szCs w:val="28"/>
        </w:rPr>
        <w:t>换市场</w:t>
      </w:r>
      <w:r>
        <w:rPr>
          <w:rFonts w:ascii="仿宋" w:eastAsia="仿宋" w:hAnsi="仿宋" w:cs="仿宋" w:hint="eastAsia"/>
          <w:sz w:val="28"/>
          <w:szCs w:val="28"/>
        </w:rPr>
        <w:t>策略仍是主要促销手段，且出口市场多以欠发达国家为主。</w:t>
      </w:r>
    </w:p>
    <w:p w:rsidR="00B0349A" w:rsidRDefault="005E5406">
      <w:pPr>
        <w:ind w:firstLineChars="200" w:firstLine="560"/>
        <w:rPr>
          <w:rFonts w:ascii="仿宋" w:eastAsia="仿宋" w:hAnsi="仿宋" w:cs="仿宋"/>
          <w:sz w:val="28"/>
          <w:szCs w:val="28"/>
        </w:rPr>
      </w:pPr>
      <w:r>
        <w:rPr>
          <w:rFonts w:ascii="仿宋" w:eastAsia="仿宋" w:hAnsi="仿宋" w:cs="仿宋" w:hint="eastAsia"/>
          <w:sz w:val="28"/>
          <w:szCs w:val="28"/>
        </w:rPr>
        <w:lastRenderedPageBreak/>
        <w:t>与此同时，中国汽车“走出去”模式虽较过去有所拓展，但仍以贸易模式为主，“走出去”过程中缺乏战略指引，对海外市场的深度开发不够，海外建厂、技术与人才输出等布局不完善，营销和售后服务网络相对滞后。</w:t>
      </w:r>
    </w:p>
    <w:p w:rsidR="00B0349A" w:rsidRDefault="005E5406">
      <w:pPr>
        <w:rPr>
          <w:rFonts w:ascii="仿宋" w:eastAsia="仿宋" w:hAnsi="仿宋" w:cs="仿宋"/>
          <w:b/>
          <w:bCs/>
          <w:sz w:val="28"/>
          <w:szCs w:val="28"/>
        </w:rPr>
      </w:pPr>
      <w:r>
        <w:rPr>
          <w:rFonts w:ascii="仿宋" w:eastAsia="仿宋" w:hAnsi="仿宋" w:cs="仿宋" w:hint="eastAsia"/>
          <w:b/>
          <w:bCs/>
          <w:sz w:val="28"/>
          <w:szCs w:val="28"/>
        </w:rPr>
        <w:t>（二）品牌影响力不足 尚未形成世界级汽车品牌</w:t>
      </w:r>
    </w:p>
    <w:p w:rsidR="00B0349A" w:rsidRDefault="005E5406">
      <w:pPr>
        <w:ind w:firstLineChars="200" w:firstLine="560"/>
        <w:rPr>
          <w:rFonts w:ascii="仿宋" w:eastAsia="仿宋" w:hAnsi="仿宋" w:cs="仿宋"/>
          <w:sz w:val="28"/>
          <w:szCs w:val="28"/>
        </w:rPr>
      </w:pPr>
      <w:r>
        <w:rPr>
          <w:rFonts w:ascii="仿宋" w:eastAsia="仿宋" w:hAnsi="仿宋" w:cs="仿宋" w:hint="eastAsia"/>
          <w:sz w:val="28"/>
          <w:szCs w:val="28"/>
        </w:rPr>
        <w:t>中国汽车产业经过改革开放后快速发展与崛起，但尚未形成一个世界级的汽车品牌，仅有部分品牌在发展中国家有一定知名度和影响力。部分企业甚至没有品牌塑造意识，只做短期出口贸易，导致一些国家消费者对中国汽车品牌印象欠佳。</w:t>
      </w:r>
    </w:p>
    <w:p w:rsidR="00B0349A" w:rsidRDefault="005E5406">
      <w:pPr>
        <w:ind w:firstLineChars="200" w:firstLine="560"/>
        <w:rPr>
          <w:rFonts w:ascii="仿宋" w:eastAsia="仿宋" w:hAnsi="仿宋" w:cs="仿宋"/>
          <w:sz w:val="28"/>
          <w:szCs w:val="28"/>
        </w:rPr>
      </w:pPr>
      <w:r>
        <w:rPr>
          <w:rFonts w:ascii="仿宋" w:eastAsia="仿宋" w:hAnsi="仿宋" w:cs="仿宋" w:hint="eastAsia"/>
          <w:sz w:val="28"/>
          <w:szCs w:val="28"/>
        </w:rPr>
        <w:t>品牌影响力短板是制约中国汽车企业开拓海外市场的重要因素，一方面，溢价率低限制了中国汽车出口价格水平的提高，另一方面，中国车企难以在海外市场赢得足够的话语权，削弱了在当地的竞争力和抗风险能力。而缺少世界级汽车品牌，更谈不上建设汽车强国。面对日益激烈的全球化竞争，中国汽车亟须打造真正全球化的品牌。</w:t>
      </w:r>
    </w:p>
    <w:p w:rsidR="00B0349A" w:rsidRDefault="005E5406">
      <w:pPr>
        <w:rPr>
          <w:rFonts w:ascii="仿宋" w:eastAsia="仿宋" w:hAnsi="仿宋" w:cs="仿宋"/>
          <w:b/>
          <w:bCs/>
          <w:sz w:val="28"/>
          <w:szCs w:val="28"/>
        </w:rPr>
      </w:pPr>
      <w:r>
        <w:rPr>
          <w:rFonts w:ascii="仿宋" w:eastAsia="仿宋" w:hAnsi="仿宋" w:cs="仿宋" w:hint="eastAsia"/>
          <w:b/>
          <w:bCs/>
          <w:sz w:val="28"/>
          <w:szCs w:val="28"/>
        </w:rPr>
        <w:t>（三）“走出去”政策体系仍不完备 金融服务瓶颈凸显</w:t>
      </w:r>
    </w:p>
    <w:p w:rsidR="00B0349A" w:rsidRDefault="005E5406">
      <w:pPr>
        <w:ind w:firstLineChars="200" w:firstLine="560"/>
        <w:rPr>
          <w:rFonts w:ascii="仿宋" w:eastAsia="仿宋" w:hAnsi="仿宋" w:cs="仿宋"/>
          <w:sz w:val="28"/>
          <w:szCs w:val="28"/>
        </w:rPr>
      </w:pPr>
      <w:r>
        <w:rPr>
          <w:rFonts w:ascii="仿宋" w:eastAsia="仿宋" w:hAnsi="仿宋" w:cs="仿宋" w:hint="eastAsia"/>
          <w:sz w:val="28"/>
          <w:szCs w:val="28"/>
        </w:rPr>
        <w:t>我国一直采取有力政策与措施鼓励中国车企“走出去”，但现有的政策法规仍难以满足企业“走出去”需要，主要体现在：</w:t>
      </w:r>
    </w:p>
    <w:p w:rsidR="00B0349A" w:rsidRDefault="005E5406">
      <w:pPr>
        <w:ind w:firstLineChars="200" w:firstLine="560"/>
        <w:rPr>
          <w:rFonts w:ascii="仿宋" w:eastAsia="仿宋" w:hAnsi="仿宋" w:cs="仿宋"/>
          <w:sz w:val="28"/>
          <w:szCs w:val="28"/>
        </w:rPr>
      </w:pPr>
      <w:r>
        <w:rPr>
          <w:rFonts w:ascii="仿宋" w:eastAsia="仿宋" w:hAnsi="仿宋" w:cs="仿宋" w:hint="eastAsia"/>
          <w:sz w:val="28"/>
          <w:szCs w:val="28"/>
        </w:rPr>
        <w:t>相应政策法规存在一事多政、政策规定滞后、操作性不强等问题。金融服务瓶颈凸显，存在获得贷款难、融资成本高、融资渠道少、境外保险业务覆盖面小和保费高等问题。而海外很多国家市场都是以消费信贷的方式来购买汽车，缺乏金融支持很大程度影响了车企走出去的步伐。上下游产业协同不足，中国整车和零部件上下游存在脱节，</w:t>
      </w:r>
      <w:r>
        <w:rPr>
          <w:rFonts w:ascii="仿宋" w:eastAsia="仿宋" w:hAnsi="仿宋" w:cs="仿宋" w:hint="eastAsia"/>
          <w:sz w:val="28"/>
          <w:szCs w:val="28"/>
        </w:rPr>
        <w:lastRenderedPageBreak/>
        <w:t>无法形成支持和配合。我国律师、会计、税务、知识产权、风险评估等中介服务机构国际化水平较低，缺乏处置境外法律纠纷、知识产权、产品认证、贸易摩擦、反倾销应诉和公共服务等方面的能力和经验，很难为企业走出去提供有效服务。</w:t>
      </w:r>
    </w:p>
    <w:p w:rsidR="00B0349A" w:rsidRDefault="005E5406">
      <w:pPr>
        <w:rPr>
          <w:rFonts w:ascii="仿宋" w:eastAsia="仿宋" w:hAnsi="仿宋" w:cs="仿宋"/>
          <w:b/>
          <w:bCs/>
          <w:sz w:val="28"/>
          <w:szCs w:val="28"/>
        </w:rPr>
      </w:pPr>
      <w:r>
        <w:rPr>
          <w:rFonts w:ascii="仿宋" w:eastAsia="仿宋" w:hAnsi="仿宋" w:cs="仿宋" w:hint="eastAsia"/>
          <w:b/>
          <w:bCs/>
          <w:sz w:val="28"/>
          <w:szCs w:val="28"/>
        </w:rPr>
        <w:t>（四）境外风险防范难度较大</w:t>
      </w:r>
    </w:p>
    <w:p w:rsidR="00B0349A" w:rsidRDefault="005E5406">
      <w:pPr>
        <w:ind w:firstLineChars="200" w:firstLine="560"/>
        <w:rPr>
          <w:rFonts w:ascii="仿宋" w:eastAsia="仿宋" w:hAnsi="仿宋" w:cs="仿宋"/>
          <w:sz w:val="28"/>
          <w:szCs w:val="28"/>
        </w:rPr>
      </w:pPr>
      <w:r>
        <w:rPr>
          <w:rFonts w:ascii="仿宋" w:eastAsia="仿宋" w:hAnsi="仿宋" w:cs="仿宋" w:hint="eastAsia"/>
          <w:sz w:val="28"/>
          <w:szCs w:val="28"/>
        </w:rPr>
        <w:t>影响中国汽车“走出去”的不利因素主要有：汇率问题、全球经济低迷、地缘政治、区域政治、国际贸易保护主义抬头、法律合</w:t>
      </w:r>
      <w:proofErr w:type="gramStart"/>
      <w:r>
        <w:rPr>
          <w:rFonts w:ascii="仿宋" w:eastAsia="仿宋" w:hAnsi="仿宋" w:cs="仿宋" w:hint="eastAsia"/>
          <w:sz w:val="28"/>
          <w:szCs w:val="28"/>
        </w:rPr>
        <w:t>规</w:t>
      </w:r>
      <w:proofErr w:type="gramEnd"/>
      <w:r>
        <w:rPr>
          <w:rFonts w:ascii="仿宋" w:eastAsia="仿宋" w:hAnsi="仿宋" w:cs="仿宋" w:hint="eastAsia"/>
          <w:sz w:val="28"/>
          <w:szCs w:val="28"/>
        </w:rPr>
        <w:t>风险等诸多不确定风险。</w:t>
      </w:r>
    </w:p>
    <w:p w:rsidR="00B0349A" w:rsidRDefault="005E5406">
      <w:pPr>
        <w:ind w:firstLineChars="200" w:firstLine="560"/>
        <w:rPr>
          <w:rFonts w:ascii="仿宋" w:eastAsia="仿宋" w:hAnsi="仿宋" w:cs="仿宋"/>
          <w:sz w:val="28"/>
          <w:szCs w:val="28"/>
        </w:rPr>
      </w:pPr>
      <w:r>
        <w:rPr>
          <w:rFonts w:ascii="仿宋" w:eastAsia="仿宋" w:hAnsi="仿宋" w:cs="仿宋" w:hint="eastAsia"/>
          <w:sz w:val="28"/>
          <w:szCs w:val="28"/>
        </w:rPr>
        <w:t>尚在全球蔓延的疫情，对产业</w:t>
      </w:r>
      <w:proofErr w:type="gramStart"/>
      <w:r>
        <w:rPr>
          <w:rFonts w:ascii="仿宋" w:eastAsia="仿宋" w:hAnsi="仿宋" w:cs="仿宋" w:hint="eastAsia"/>
          <w:sz w:val="28"/>
          <w:szCs w:val="28"/>
        </w:rPr>
        <w:t>链高度</w:t>
      </w:r>
      <w:proofErr w:type="gramEnd"/>
      <w:r>
        <w:rPr>
          <w:rFonts w:ascii="仿宋" w:eastAsia="仿宋" w:hAnsi="仿宋" w:cs="仿宋" w:hint="eastAsia"/>
          <w:sz w:val="28"/>
          <w:szCs w:val="28"/>
        </w:rPr>
        <w:t>全球化的汽车业造成不小冲击，车企出口贸易和国际化布局受到影响。近年来的国际局势起伏动荡、战争阴云不断，如中东战乱、叙利亚内乱导致当地经济下行，汽车销量不振。随着全球经济发展放缓，国际贸易保护主义抬头，一些国家通过关税和非关税贸易政策、法规壁垒限制进口，保护自身产业和经济。一些欠发达国家司法环境较差，社会契约意识薄弱，法律制度不健全，中国车企面临法律风险。</w:t>
      </w:r>
    </w:p>
    <w:p w:rsidR="00B0349A" w:rsidRDefault="00B0349A">
      <w:pPr>
        <w:rPr>
          <w:rFonts w:ascii="仿宋" w:eastAsia="仿宋" w:hAnsi="仿宋" w:cs="仿宋"/>
          <w:sz w:val="28"/>
          <w:szCs w:val="28"/>
        </w:rPr>
      </w:pPr>
    </w:p>
    <w:p w:rsidR="00B0349A" w:rsidRPr="006D1DD4" w:rsidRDefault="005E5406">
      <w:pPr>
        <w:rPr>
          <w:rFonts w:ascii="仿宋" w:eastAsia="仿宋" w:hAnsi="仿宋" w:cs="仿宋"/>
          <w:b/>
          <w:bCs/>
          <w:sz w:val="32"/>
          <w:szCs w:val="28"/>
        </w:rPr>
      </w:pPr>
      <w:bookmarkStart w:id="0" w:name="_GoBack"/>
      <w:r w:rsidRPr="006D1DD4">
        <w:rPr>
          <w:rFonts w:ascii="仿宋" w:eastAsia="仿宋" w:hAnsi="仿宋" w:cs="仿宋" w:hint="eastAsia"/>
          <w:b/>
          <w:bCs/>
          <w:sz w:val="32"/>
          <w:szCs w:val="28"/>
        </w:rPr>
        <w:t>三、措施与建议：多</w:t>
      </w:r>
      <w:proofErr w:type="gramStart"/>
      <w:r w:rsidRPr="006D1DD4">
        <w:rPr>
          <w:rFonts w:ascii="仿宋" w:eastAsia="仿宋" w:hAnsi="仿宋" w:cs="仿宋" w:hint="eastAsia"/>
          <w:b/>
          <w:bCs/>
          <w:sz w:val="32"/>
          <w:szCs w:val="28"/>
        </w:rPr>
        <w:t>措</w:t>
      </w:r>
      <w:proofErr w:type="gramEnd"/>
      <w:r w:rsidRPr="006D1DD4">
        <w:rPr>
          <w:rFonts w:ascii="仿宋" w:eastAsia="仿宋" w:hAnsi="仿宋" w:cs="仿宋" w:hint="eastAsia"/>
          <w:b/>
          <w:bCs/>
          <w:sz w:val="32"/>
          <w:szCs w:val="28"/>
        </w:rPr>
        <w:t>并举 加大“一带一路”背景下中国汽车“走出去”支持力度</w:t>
      </w:r>
    </w:p>
    <w:bookmarkEnd w:id="0"/>
    <w:p w:rsidR="00B0349A" w:rsidRDefault="005E5406">
      <w:pPr>
        <w:ind w:firstLineChars="200" w:firstLine="560"/>
        <w:rPr>
          <w:rFonts w:ascii="仿宋" w:eastAsia="仿宋" w:hAnsi="仿宋" w:cs="仿宋"/>
          <w:sz w:val="28"/>
          <w:szCs w:val="28"/>
        </w:rPr>
      </w:pPr>
      <w:r>
        <w:rPr>
          <w:rFonts w:ascii="仿宋" w:eastAsia="仿宋" w:hAnsi="仿宋" w:cs="仿宋" w:hint="eastAsia"/>
          <w:sz w:val="28"/>
          <w:szCs w:val="28"/>
        </w:rPr>
        <w:t>推动中国汽车“走出去”是一个系统性工程，诸多困难和问题非企业一己之力可以解决，需要国家从顶层设计层面，加大对“一带一路”建设下中国汽车“走出去”的支持力度。</w:t>
      </w:r>
    </w:p>
    <w:p w:rsidR="00B0349A" w:rsidRDefault="005E5406">
      <w:pPr>
        <w:rPr>
          <w:rFonts w:ascii="仿宋" w:eastAsia="仿宋" w:hAnsi="仿宋" w:cs="仿宋"/>
          <w:b/>
          <w:bCs/>
          <w:sz w:val="28"/>
          <w:szCs w:val="28"/>
        </w:rPr>
      </w:pPr>
      <w:r>
        <w:rPr>
          <w:rFonts w:ascii="仿宋" w:eastAsia="仿宋" w:hAnsi="仿宋" w:cs="仿宋" w:hint="eastAsia"/>
          <w:b/>
          <w:bCs/>
          <w:sz w:val="28"/>
          <w:szCs w:val="28"/>
        </w:rPr>
        <w:t>（一）制定中国汽车“走出去”国家战略 推动汽车强国建设</w:t>
      </w:r>
    </w:p>
    <w:p w:rsidR="00B0349A" w:rsidRDefault="005E5406">
      <w:pPr>
        <w:ind w:firstLineChars="200" w:firstLine="560"/>
        <w:rPr>
          <w:rFonts w:ascii="仿宋" w:eastAsia="仿宋" w:hAnsi="仿宋" w:cs="仿宋"/>
          <w:sz w:val="28"/>
          <w:szCs w:val="28"/>
        </w:rPr>
      </w:pPr>
      <w:r>
        <w:rPr>
          <w:rFonts w:ascii="仿宋" w:eastAsia="仿宋" w:hAnsi="仿宋" w:cs="仿宋" w:hint="eastAsia"/>
          <w:sz w:val="28"/>
          <w:szCs w:val="28"/>
        </w:rPr>
        <w:lastRenderedPageBreak/>
        <w:t>中国汽车产业走全球化道路已成发展共识，有必要将中国汽车产业“走出去”上升到国家战略高度。建议结合《中国制造2025》战略和《汽车产业中长期发展规划》，尽快制定中国汽车“走出去”国家战略，明确中国汽车产业全球化发展的指导思想、基本原则、战略目标、战略任务、保障措施等内容。</w:t>
      </w:r>
    </w:p>
    <w:p w:rsidR="00B0349A" w:rsidRDefault="005E5406">
      <w:pPr>
        <w:ind w:firstLineChars="200" w:firstLine="560"/>
        <w:rPr>
          <w:rFonts w:ascii="仿宋" w:eastAsia="仿宋" w:hAnsi="仿宋" w:cs="仿宋"/>
          <w:sz w:val="28"/>
          <w:szCs w:val="28"/>
        </w:rPr>
      </w:pPr>
      <w:r>
        <w:rPr>
          <w:rFonts w:ascii="仿宋" w:eastAsia="仿宋" w:hAnsi="仿宋" w:cs="仿宋" w:hint="eastAsia"/>
          <w:sz w:val="28"/>
          <w:szCs w:val="28"/>
        </w:rPr>
        <w:t>如搭建技术创新协同平台，整合产学研及</w:t>
      </w:r>
      <w:proofErr w:type="gramStart"/>
      <w:r>
        <w:rPr>
          <w:rFonts w:ascii="仿宋" w:eastAsia="仿宋" w:hAnsi="仿宋" w:cs="仿宋" w:hint="eastAsia"/>
          <w:sz w:val="28"/>
          <w:szCs w:val="28"/>
        </w:rPr>
        <w:t>产业链各环节</w:t>
      </w:r>
      <w:proofErr w:type="gramEnd"/>
      <w:r>
        <w:rPr>
          <w:rFonts w:ascii="仿宋" w:eastAsia="仿宋" w:hAnsi="仿宋" w:cs="仿宋" w:hint="eastAsia"/>
          <w:sz w:val="28"/>
          <w:szCs w:val="28"/>
        </w:rPr>
        <w:t>技术资源，加强对共性技术的联合研发，攻克整车及零部件系统集成、轻量化、新能源、自动驾驶系统等关键核心技术，形成体系化的技术创新能力。支持中国汽车多元化模式“走出去”，除产品出口外，鼓励企业在海外建设全工艺工厂、跨国并购、技术输出等，向技术、人才与资本共同输出的海外产业战略布局转变。推动汽车全产业链联动出海，鼓励整车优质企业与优势零部件企业在研发、采购等层面开展深度合作，支持中国车企带领上下游零部件企业一同“走出去”。建立健全车企互助合作机制，促进企业之间形成良性的互动支持，在海外市场信息、配套设施、产能合作、销售网络等方面共享资源，促进中国汽车产业国际竞争力的整体提升。</w:t>
      </w:r>
    </w:p>
    <w:p w:rsidR="00B0349A" w:rsidRDefault="005E5406">
      <w:pPr>
        <w:rPr>
          <w:rFonts w:ascii="仿宋" w:eastAsia="仿宋" w:hAnsi="仿宋" w:cs="仿宋"/>
          <w:sz w:val="28"/>
          <w:szCs w:val="28"/>
        </w:rPr>
      </w:pPr>
      <w:r>
        <w:rPr>
          <w:rFonts w:ascii="仿宋" w:eastAsia="仿宋" w:hAnsi="仿宋" w:cs="仿宋" w:hint="eastAsia"/>
          <w:b/>
          <w:bCs/>
          <w:sz w:val="28"/>
          <w:szCs w:val="28"/>
        </w:rPr>
        <w:t>（二）引导新能源汽车出口新增长点 强化对出口企业的管理</w:t>
      </w:r>
    </w:p>
    <w:p w:rsidR="00B0349A" w:rsidRDefault="005E5406">
      <w:pPr>
        <w:ind w:firstLineChars="200" w:firstLine="560"/>
        <w:rPr>
          <w:rFonts w:ascii="仿宋" w:eastAsia="仿宋" w:hAnsi="仿宋" w:cs="仿宋"/>
          <w:sz w:val="28"/>
          <w:szCs w:val="28"/>
        </w:rPr>
      </w:pPr>
      <w:r>
        <w:rPr>
          <w:rFonts w:ascii="仿宋" w:eastAsia="仿宋" w:hAnsi="仿宋" w:cs="仿宋" w:hint="eastAsia"/>
          <w:sz w:val="28"/>
          <w:szCs w:val="28"/>
        </w:rPr>
        <w:t>引导新能源汽车成为我国汽车出口的新增长点。我国现已成为新能源汽车领域发展最快的国家，产业链比较完善，服务模式和商业模式的探索卓有成效，连续多年占据全球新能源汽车销量的半壁江山。建议抓住机遇，引导企业进一步挖掘新能源汽车海外市场空间。</w:t>
      </w:r>
    </w:p>
    <w:p w:rsidR="00B0349A" w:rsidRDefault="005E5406">
      <w:pPr>
        <w:ind w:firstLineChars="200" w:firstLine="560"/>
        <w:rPr>
          <w:rFonts w:ascii="仿宋" w:eastAsia="仿宋" w:hAnsi="仿宋" w:cs="仿宋"/>
          <w:sz w:val="28"/>
          <w:szCs w:val="28"/>
        </w:rPr>
      </w:pPr>
      <w:r>
        <w:rPr>
          <w:rFonts w:ascii="仿宋" w:eastAsia="仿宋" w:hAnsi="仿宋" w:cs="仿宋" w:hint="eastAsia"/>
          <w:sz w:val="28"/>
          <w:szCs w:val="28"/>
        </w:rPr>
        <w:t>强化对出口企业的管理，对汽车产品出口实行许可证制度或强制</w:t>
      </w:r>
      <w:r>
        <w:rPr>
          <w:rFonts w:ascii="仿宋" w:eastAsia="仿宋" w:hAnsi="仿宋" w:cs="仿宋" w:hint="eastAsia"/>
          <w:sz w:val="28"/>
          <w:szCs w:val="28"/>
        </w:rPr>
        <w:lastRenderedPageBreak/>
        <w:t>认证制度，对于在质量控制、车辆安全、环保、能耗、服务等方面达不到要求的产品拒绝发放许可证，以此促进企业多方面提升自身实力和产品品质，保证出口到海外的中国汽车都拥有较高的质量水准，为中国企业和汽车产品赢得良好的国际形象，进而促进出口。</w:t>
      </w:r>
    </w:p>
    <w:p w:rsidR="00B0349A" w:rsidRDefault="005E5406">
      <w:pPr>
        <w:rPr>
          <w:rFonts w:ascii="仿宋" w:eastAsia="仿宋" w:hAnsi="仿宋" w:cs="仿宋"/>
          <w:b/>
          <w:bCs/>
          <w:sz w:val="28"/>
          <w:szCs w:val="28"/>
        </w:rPr>
      </w:pPr>
      <w:r>
        <w:rPr>
          <w:rFonts w:ascii="仿宋" w:eastAsia="仿宋" w:hAnsi="仿宋" w:cs="仿宋" w:hint="eastAsia"/>
          <w:b/>
          <w:bCs/>
          <w:sz w:val="28"/>
          <w:szCs w:val="28"/>
        </w:rPr>
        <w:t>（三）建立汽车质量品牌评价体系 加强品牌培育</w:t>
      </w:r>
    </w:p>
    <w:p w:rsidR="00B0349A" w:rsidRDefault="005E5406">
      <w:pPr>
        <w:ind w:firstLineChars="200" w:firstLine="560"/>
        <w:rPr>
          <w:rFonts w:ascii="仿宋" w:eastAsia="仿宋" w:hAnsi="仿宋" w:cs="仿宋"/>
          <w:sz w:val="28"/>
          <w:szCs w:val="28"/>
        </w:rPr>
      </w:pPr>
      <w:r>
        <w:rPr>
          <w:rFonts w:ascii="仿宋" w:eastAsia="仿宋" w:hAnsi="仿宋" w:cs="仿宋" w:hint="eastAsia"/>
          <w:sz w:val="28"/>
          <w:szCs w:val="28"/>
        </w:rPr>
        <w:t>面向未来的全球竞争，中国汽车企业一定要立足于品牌建设，提升中国汽车品牌在全球的知名度和影响力。建议积极推动建立中国汽车品牌建设促进组织，充分利用国际产业合作、重大国际会议活动、媒体舆论宣传等渠道推广中国汽车品牌。</w:t>
      </w:r>
    </w:p>
    <w:p w:rsidR="00B0349A" w:rsidRDefault="005E5406">
      <w:pPr>
        <w:ind w:firstLineChars="200" w:firstLine="560"/>
        <w:rPr>
          <w:rFonts w:ascii="仿宋" w:eastAsia="仿宋" w:hAnsi="仿宋" w:cs="仿宋"/>
          <w:sz w:val="28"/>
          <w:szCs w:val="28"/>
        </w:rPr>
      </w:pPr>
      <w:r>
        <w:rPr>
          <w:rFonts w:ascii="仿宋" w:eastAsia="仿宋" w:hAnsi="仿宋" w:cs="仿宋" w:hint="eastAsia"/>
          <w:sz w:val="28"/>
          <w:szCs w:val="28"/>
        </w:rPr>
        <w:t>引导建立中国汽车质量品牌评价体系，推动汽车品牌评价国际新秩序建设落地。鼓励中国汽车产业多元化“走出去”，建设海外基地并输出技术、人才、资本和文化。</w:t>
      </w:r>
    </w:p>
    <w:p w:rsidR="00B0349A" w:rsidRDefault="005E5406">
      <w:pPr>
        <w:rPr>
          <w:rFonts w:ascii="仿宋" w:eastAsia="仿宋" w:hAnsi="仿宋" w:cs="仿宋"/>
          <w:b/>
          <w:bCs/>
          <w:sz w:val="28"/>
          <w:szCs w:val="28"/>
        </w:rPr>
      </w:pPr>
      <w:r>
        <w:rPr>
          <w:rFonts w:ascii="仿宋" w:eastAsia="仿宋" w:hAnsi="仿宋" w:cs="仿宋" w:hint="eastAsia"/>
          <w:b/>
          <w:bCs/>
          <w:sz w:val="28"/>
          <w:szCs w:val="28"/>
        </w:rPr>
        <w:t>（四）搭建“一带一路”综合服务平台 护航企业“出海”</w:t>
      </w:r>
    </w:p>
    <w:p w:rsidR="00B0349A" w:rsidRDefault="005E5406">
      <w:pPr>
        <w:ind w:firstLineChars="200" w:firstLine="560"/>
        <w:rPr>
          <w:rFonts w:ascii="仿宋" w:eastAsia="仿宋" w:hAnsi="仿宋" w:cs="仿宋"/>
          <w:sz w:val="28"/>
          <w:szCs w:val="28"/>
        </w:rPr>
      </w:pPr>
      <w:r>
        <w:rPr>
          <w:rFonts w:ascii="仿宋" w:eastAsia="仿宋" w:hAnsi="仿宋" w:cs="仿宋" w:hint="eastAsia"/>
          <w:sz w:val="28"/>
          <w:szCs w:val="28"/>
        </w:rPr>
        <w:t>建议由商务部牵头，加强</w:t>
      </w:r>
      <w:proofErr w:type="gramStart"/>
      <w:r>
        <w:rPr>
          <w:rFonts w:ascii="仿宋" w:eastAsia="仿宋" w:hAnsi="仿宋" w:cs="仿宋" w:hint="eastAsia"/>
          <w:sz w:val="28"/>
          <w:szCs w:val="28"/>
        </w:rPr>
        <w:t>与发改委</w:t>
      </w:r>
      <w:proofErr w:type="gramEnd"/>
      <w:r>
        <w:rPr>
          <w:rFonts w:ascii="仿宋" w:eastAsia="仿宋" w:hAnsi="仿宋" w:cs="仿宋" w:hint="eastAsia"/>
          <w:sz w:val="28"/>
          <w:szCs w:val="28"/>
        </w:rPr>
        <w:t>、工信部、海关等相关职能部门的沟通协调，共同搭建“一带一路”政策法律、经贸促进、语言、物流等综合服务平台，并进行省市二级联动，助力我国与沿线国家的</w:t>
      </w:r>
      <w:proofErr w:type="gramStart"/>
      <w:r>
        <w:rPr>
          <w:rFonts w:ascii="仿宋" w:eastAsia="仿宋" w:hAnsi="仿宋" w:cs="仿宋" w:hint="eastAsia"/>
          <w:sz w:val="28"/>
          <w:szCs w:val="28"/>
        </w:rPr>
        <w:t>汽车经贸</w:t>
      </w:r>
      <w:proofErr w:type="gramEnd"/>
      <w:r>
        <w:rPr>
          <w:rFonts w:ascii="仿宋" w:eastAsia="仿宋" w:hAnsi="仿宋" w:cs="仿宋" w:hint="eastAsia"/>
          <w:sz w:val="28"/>
          <w:szCs w:val="28"/>
        </w:rPr>
        <w:t>合作持续深化和加强。</w:t>
      </w:r>
    </w:p>
    <w:p w:rsidR="00B0349A" w:rsidRDefault="005E5406">
      <w:pPr>
        <w:ind w:firstLineChars="200" w:firstLine="560"/>
        <w:rPr>
          <w:rFonts w:ascii="仿宋" w:eastAsia="仿宋" w:hAnsi="仿宋" w:cs="仿宋"/>
          <w:sz w:val="28"/>
          <w:szCs w:val="28"/>
        </w:rPr>
      </w:pPr>
      <w:r>
        <w:rPr>
          <w:rFonts w:ascii="仿宋" w:eastAsia="仿宋" w:hAnsi="仿宋" w:cs="仿宋" w:hint="eastAsia"/>
          <w:sz w:val="28"/>
          <w:szCs w:val="28"/>
        </w:rPr>
        <w:t>搭建信息服务平台，及时获取相关政策信息，逐步建立境外投资信息系统，帮助企业了解所在国政治形势、投资法律、产业政策和行业标准，为车企“走出去”创造机会。搭建专业服务平台，加强与专业服务机构合作，为中国车企“走出去”提供法律、财务、知识产权、认证和语言等服务。搭建培训交流平台，举办企业走出去培训活动，</w:t>
      </w:r>
      <w:r>
        <w:rPr>
          <w:rFonts w:ascii="仿宋" w:eastAsia="仿宋" w:hAnsi="仿宋" w:cs="仿宋" w:hint="eastAsia"/>
          <w:sz w:val="28"/>
          <w:szCs w:val="28"/>
        </w:rPr>
        <w:lastRenderedPageBreak/>
        <w:t>引导汽车企业在管理理念、管理机制等方面与国际接轨。搭建国际沟通协调平台，建立健全我国与“一带一路”相关国家和地区的外交、司法、商务、劳动等部门的磋商合作机制，保护中国企业利益。</w:t>
      </w:r>
    </w:p>
    <w:p w:rsidR="00B0349A" w:rsidRDefault="005E5406">
      <w:pPr>
        <w:rPr>
          <w:rFonts w:ascii="仿宋" w:eastAsia="仿宋" w:hAnsi="仿宋" w:cs="仿宋"/>
          <w:b/>
          <w:bCs/>
          <w:sz w:val="28"/>
          <w:szCs w:val="28"/>
        </w:rPr>
      </w:pPr>
      <w:r>
        <w:rPr>
          <w:rFonts w:ascii="仿宋" w:eastAsia="仿宋" w:hAnsi="仿宋" w:cs="仿宋" w:hint="eastAsia"/>
          <w:b/>
          <w:bCs/>
          <w:sz w:val="28"/>
          <w:szCs w:val="28"/>
        </w:rPr>
        <w:t>（五）优化跨境金融政策支持 加大对汽车企业“走出去”的金融支持力度</w:t>
      </w:r>
    </w:p>
    <w:p w:rsidR="00B0349A" w:rsidRDefault="005E5406">
      <w:pPr>
        <w:ind w:firstLineChars="200" w:firstLine="560"/>
        <w:rPr>
          <w:rFonts w:ascii="仿宋" w:eastAsia="仿宋" w:hAnsi="仿宋" w:cs="仿宋"/>
          <w:sz w:val="28"/>
          <w:szCs w:val="28"/>
        </w:rPr>
      </w:pPr>
      <w:r>
        <w:rPr>
          <w:rFonts w:ascii="仿宋" w:eastAsia="仿宋" w:hAnsi="仿宋" w:cs="仿宋" w:hint="eastAsia"/>
          <w:sz w:val="28"/>
          <w:szCs w:val="28"/>
        </w:rPr>
        <w:t>从产业和企业“走出去”的现状和需求出发，在宏观政策指导、信贷政策、外汇管理政策等方面加大政策支持力度，对汽车产业、装备制造业等对提升国家综合竞争力具有重要意义的产业有相应的专项支持。</w:t>
      </w:r>
    </w:p>
    <w:p w:rsidR="00B0349A" w:rsidRDefault="005E5406">
      <w:pPr>
        <w:ind w:firstLineChars="200" w:firstLine="560"/>
        <w:rPr>
          <w:rFonts w:ascii="仿宋" w:eastAsia="仿宋" w:hAnsi="仿宋" w:cs="仿宋"/>
          <w:sz w:val="28"/>
          <w:szCs w:val="28"/>
        </w:rPr>
      </w:pPr>
      <w:r>
        <w:rPr>
          <w:rFonts w:ascii="仿宋" w:eastAsia="仿宋" w:hAnsi="仿宋" w:cs="仿宋" w:hint="eastAsia"/>
          <w:sz w:val="28"/>
          <w:szCs w:val="28"/>
        </w:rPr>
        <w:t>引导形成全方位、高效精准的多层次资金投资平台和资金结构，</w:t>
      </w:r>
      <w:proofErr w:type="gramStart"/>
      <w:r>
        <w:rPr>
          <w:rFonts w:ascii="仿宋" w:eastAsia="仿宋" w:hAnsi="仿宋" w:cs="仿宋" w:hint="eastAsia"/>
          <w:sz w:val="28"/>
          <w:szCs w:val="28"/>
        </w:rPr>
        <w:t>整合亚投</w:t>
      </w:r>
      <w:proofErr w:type="gramEnd"/>
      <w:r>
        <w:rPr>
          <w:rFonts w:ascii="仿宋" w:eastAsia="仿宋" w:hAnsi="仿宋" w:cs="仿宋" w:hint="eastAsia"/>
          <w:sz w:val="28"/>
          <w:szCs w:val="28"/>
        </w:rPr>
        <w:t>行等国际金融机构与各大商业银行、政策性银行、保险资金以及民间资金之间的机制化合作，实现资金的互联互通。创新金融服务机制，丰富金融产品种类，提高融资效率，推进产融结合。支持金融机构在业务范围内加大对汽车企业“走出去”的服务力度，采取措施帮助中国汽车等制造产业规避汇率风险，降低损失。积极引导国内大型银行、保险等金融机构及相关配套和中国汽车一同“走出去”，提供本土化的金融服务。完善人民币支付清算系统等基础设施建设，进一步加强中国与“一带一路”国家的货币合作机制建设，为汽车产业等“一带一路”实体经济服务。</w:t>
      </w:r>
    </w:p>
    <w:p w:rsidR="00B0349A" w:rsidRDefault="005E5406">
      <w:pPr>
        <w:rPr>
          <w:rFonts w:ascii="仿宋" w:eastAsia="仿宋" w:hAnsi="仿宋" w:cs="仿宋"/>
          <w:b/>
          <w:bCs/>
          <w:sz w:val="28"/>
          <w:szCs w:val="28"/>
        </w:rPr>
      </w:pPr>
      <w:r>
        <w:rPr>
          <w:rFonts w:ascii="仿宋" w:eastAsia="仿宋" w:hAnsi="仿宋" w:cs="仿宋" w:hint="eastAsia"/>
          <w:b/>
          <w:bCs/>
          <w:sz w:val="28"/>
          <w:szCs w:val="28"/>
        </w:rPr>
        <w:t>（六）建立健全风险防控和权益保障机制 保护中国汽车企业利益</w:t>
      </w:r>
    </w:p>
    <w:p w:rsidR="00B0349A" w:rsidRDefault="005E5406">
      <w:pPr>
        <w:ind w:firstLineChars="200" w:firstLine="560"/>
        <w:rPr>
          <w:rFonts w:ascii="仿宋" w:eastAsia="仿宋" w:hAnsi="仿宋" w:cs="仿宋"/>
          <w:sz w:val="28"/>
          <w:szCs w:val="28"/>
        </w:rPr>
      </w:pPr>
      <w:r>
        <w:rPr>
          <w:rFonts w:ascii="仿宋" w:eastAsia="仿宋" w:hAnsi="仿宋" w:cs="仿宋" w:hint="eastAsia"/>
          <w:sz w:val="28"/>
          <w:szCs w:val="28"/>
        </w:rPr>
        <w:t>中国汽车在“走出去”过程中面临地缘政治、安全环保、企业经营、法律法规等一系列风险，只有切实加以防范，才能适应全球竞争</w:t>
      </w:r>
      <w:r>
        <w:rPr>
          <w:rFonts w:ascii="仿宋" w:eastAsia="仿宋" w:hAnsi="仿宋" w:cs="仿宋" w:hint="eastAsia"/>
          <w:sz w:val="28"/>
          <w:szCs w:val="28"/>
        </w:rPr>
        <w:lastRenderedPageBreak/>
        <w:t>新规则和新方式，在海外持续发展。建议加强对中国企业“走出去”的宏观指导，建立健全境外经营风险评估体系、风险防范机制和境外风险应急体系，密切跟踪相关国家的国内形势、投资环境等，加强政策咨询、风险预警，引导企业合</w:t>
      </w:r>
      <w:proofErr w:type="gramStart"/>
      <w:r>
        <w:rPr>
          <w:rFonts w:ascii="仿宋" w:eastAsia="仿宋" w:hAnsi="仿宋" w:cs="仿宋" w:hint="eastAsia"/>
          <w:sz w:val="28"/>
          <w:szCs w:val="28"/>
        </w:rPr>
        <w:t>规</w:t>
      </w:r>
      <w:proofErr w:type="gramEnd"/>
      <w:r>
        <w:rPr>
          <w:rFonts w:ascii="仿宋" w:eastAsia="仿宋" w:hAnsi="仿宋" w:cs="仿宋" w:hint="eastAsia"/>
          <w:sz w:val="28"/>
          <w:szCs w:val="28"/>
        </w:rPr>
        <w:t>经营。</w:t>
      </w:r>
    </w:p>
    <w:p w:rsidR="00B0349A" w:rsidRDefault="005E5406">
      <w:pPr>
        <w:ind w:firstLineChars="200" w:firstLine="560"/>
        <w:rPr>
          <w:rFonts w:ascii="仿宋" w:eastAsia="仿宋" w:hAnsi="仿宋" w:cs="仿宋"/>
          <w:sz w:val="28"/>
          <w:szCs w:val="28"/>
        </w:rPr>
      </w:pPr>
      <w:r>
        <w:rPr>
          <w:rFonts w:ascii="仿宋" w:eastAsia="仿宋" w:hAnsi="仿宋" w:cs="仿宋" w:hint="eastAsia"/>
          <w:sz w:val="28"/>
          <w:szCs w:val="28"/>
        </w:rPr>
        <w:t>针对一些贸易摩擦问题，加强国际交往和协调，持续加强双边、多边和区域贸易合作，充分利用双边、多边协定，扩大和利用双边、多边及区域国际合作机制，帮助中国企业获得与目标国企业同等的待遇。积极利用WTO终端解决机制，引导车企积极应对各种贸易争端，对中国汽车企业“走出去”给予合理的保护。</w:t>
      </w:r>
    </w:p>
    <w:sectPr w:rsidR="00B0349A">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E97" w:rsidRDefault="006B6E97">
      <w:r>
        <w:separator/>
      </w:r>
    </w:p>
  </w:endnote>
  <w:endnote w:type="continuationSeparator" w:id="0">
    <w:p w:rsidR="006B6E97" w:rsidRDefault="006B6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1241190"/>
      <w:docPartObj>
        <w:docPartGallery w:val="AutoText"/>
      </w:docPartObj>
    </w:sdtPr>
    <w:sdtEndPr/>
    <w:sdtContent>
      <w:sdt>
        <w:sdtPr>
          <w:id w:val="1728636285"/>
          <w:docPartObj>
            <w:docPartGallery w:val="AutoText"/>
          </w:docPartObj>
        </w:sdtPr>
        <w:sdtEndPr/>
        <w:sdtContent>
          <w:p w:rsidR="00B0349A" w:rsidRDefault="005E5406">
            <w:pPr>
              <w:pStyle w:val="a4"/>
              <w:jc w:val="center"/>
            </w:pPr>
            <w:r>
              <w:rPr>
                <w:lang w:val="zh-CN"/>
              </w:rPr>
              <w:t xml:space="preserve"> </w:t>
            </w:r>
            <w:r>
              <w:rPr>
                <w:b/>
                <w:bCs/>
                <w:sz w:val="24"/>
              </w:rPr>
              <w:fldChar w:fldCharType="begin"/>
            </w:r>
            <w:r>
              <w:rPr>
                <w:b/>
                <w:bCs/>
              </w:rPr>
              <w:instrText>PAGE</w:instrText>
            </w:r>
            <w:r>
              <w:rPr>
                <w:b/>
                <w:bCs/>
                <w:sz w:val="24"/>
              </w:rPr>
              <w:fldChar w:fldCharType="separate"/>
            </w:r>
            <w:r w:rsidR="006D1DD4">
              <w:rPr>
                <w:b/>
                <w:bCs/>
                <w:noProof/>
              </w:rPr>
              <w:t>10</w:t>
            </w:r>
            <w:r>
              <w:rPr>
                <w:b/>
                <w:bCs/>
                <w:sz w:val="24"/>
              </w:rPr>
              <w:fldChar w:fldCharType="end"/>
            </w:r>
            <w:r>
              <w:rPr>
                <w:lang w:val="zh-CN"/>
              </w:rPr>
              <w:t xml:space="preserve"> / </w:t>
            </w:r>
            <w:r>
              <w:rPr>
                <w:b/>
                <w:bCs/>
                <w:sz w:val="24"/>
              </w:rPr>
              <w:fldChar w:fldCharType="begin"/>
            </w:r>
            <w:r>
              <w:rPr>
                <w:b/>
                <w:bCs/>
              </w:rPr>
              <w:instrText>NUMPAGES</w:instrText>
            </w:r>
            <w:r>
              <w:rPr>
                <w:b/>
                <w:bCs/>
                <w:sz w:val="24"/>
              </w:rPr>
              <w:fldChar w:fldCharType="separate"/>
            </w:r>
            <w:r w:rsidR="006D1DD4">
              <w:rPr>
                <w:b/>
                <w:bCs/>
                <w:noProof/>
              </w:rPr>
              <w:t>10</w:t>
            </w:r>
            <w:r>
              <w:rPr>
                <w:b/>
                <w:bCs/>
                <w:sz w:val="24"/>
              </w:rPr>
              <w:fldChar w:fldCharType="end"/>
            </w:r>
          </w:p>
        </w:sdtContent>
      </w:sdt>
    </w:sdtContent>
  </w:sdt>
  <w:p w:rsidR="00B0349A" w:rsidRDefault="00B0349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E97" w:rsidRDefault="006B6E97">
      <w:r>
        <w:separator/>
      </w:r>
    </w:p>
  </w:footnote>
  <w:footnote w:type="continuationSeparator" w:id="0">
    <w:p w:rsidR="006B6E97" w:rsidRDefault="006B6E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E6CA22"/>
    <w:multiLevelType w:val="singleLevel"/>
    <w:tmpl w:val="09E6CA22"/>
    <w:lvl w:ilvl="0">
      <w:start w:val="1"/>
      <w:numFmt w:val="chineseCounting"/>
      <w:suff w:val="nothing"/>
      <w:lvlText w:val="（%1）"/>
      <w:lvlJc w:val="left"/>
      <w:rPr>
        <w:rFonts w:hint="eastAsia"/>
      </w:rPr>
    </w:lvl>
  </w:abstractNum>
  <w:abstractNum w:abstractNumId="1">
    <w:nsid w:val="0EAC5BAE"/>
    <w:multiLevelType w:val="singleLevel"/>
    <w:tmpl w:val="0EAC5BAE"/>
    <w:lvl w:ilvl="0">
      <w:start w:val="1"/>
      <w:numFmt w:val="chineseCounting"/>
      <w:suff w:val="nothing"/>
      <w:lvlText w:val="（%1）"/>
      <w:lvlJc w:val="left"/>
      <w:rPr>
        <w:rFonts w:hint="eastAsia"/>
      </w:rPr>
    </w:lvl>
  </w:abstractNum>
  <w:abstractNum w:abstractNumId="2">
    <w:nsid w:val="4DF46ABD"/>
    <w:multiLevelType w:val="singleLevel"/>
    <w:tmpl w:val="4DF46ABD"/>
    <w:lvl w:ilvl="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B78"/>
    <w:rsid w:val="00057320"/>
    <w:rsid w:val="000E29D2"/>
    <w:rsid w:val="001754E7"/>
    <w:rsid w:val="002945A6"/>
    <w:rsid w:val="005E14FB"/>
    <w:rsid w:val="005E5406"/>
    <w:rsid w:val="006B6E97"/>
    <w:rsid w:val="006D1DD4"/>
    <w:rsid w:val="00714D89"/>
    <w:rsid w:val="00785E05"/>
    <w:rsid w:val="00800F53"/>
    <w:rsid w:val="009B562D"/>
    <w:rsid w:val="00A17D3A"/>
    <w:rsid w:val="00A55196"/>
    <w:rsid w:val="00A676E2"/>
    <w:rsid w:val="00A93E94"/>
    <w:rsid w:val="00AD5BB8"/>
    <w:rsid w:val="00B0349A"/>
    <w:rsid w:val="00C6277D"/>
    <w:rsid w:val="00C82357"/>
    <w:rsid w:val="00D2238C"/>
    <w:rsid w:val="00DD4521"/>
    <w:rsid w:val="00E80B78"/>
    <w:rsid w:val="00FD3C57"/>
    <w:rsid w:val="00FD76CE"/>
    <w:rsid w:val="011A4D8C"/>
    <w:rsid w:val="013808CF"/>
    <w:rsid w:val="017B5B24"/>
    <w:rsid w:val="01A76B16"/>
    <w:rsid w:val="023265DC"/>
    <w:rsid w:val="02640541"/>
    <w:rsid w:val="02B947A5"/>
    <w:rsid w:val="02C977B6"/>
    <w:rsid w:val="02FA23CE"/>
    <w:rsid w:val="03016C08"/>
    <w:rsid w:val="03337160"/>
    <w:rsid w:val="0339433D"/>
    <w:rsid w:val="03852677"/>
    <w:rsid w:val="03AD284A"/>
    <w:rsid w:val="03C52211"/>
    <w:rsid w:val="03DF335B"/>
    <w:rsid w:val="04137C6C"/>
    <w:rsid w:val="044B684A"/>
    <w:rsid w:val="04A459EE"/>
    <w:rsid w:val="04B10083"/>
    <w:rsid w:val="04BE420A"/>
    <w:rsid w:val="04EA7523"/>
    <w:rsid w:val="053C12DB"/>
    <w:rsid w:val="05BE6FCF"/>
    <w:rsid w:val="05E47A71"/>
    <w:rsid w:val="060D6493"/>
    <w:rsid w:val="06276127"/>
    <w:rsid w:val="06424E32"/>
    <w:rsid w:val="067A71B4"/>
    <w:rsid w:val="07EC3B1F"/>
    <w:rsid w:val="080C4D4A"/>
    <w:rsid w:val="086A6C8C"/>
    <w:rsid w:val="088A72CD"/>
    <w:rsid w:val="089E7A9B"/>
    <w:rsid w:val="08AB7195"/>
    <w:rsid w:val="090B2AC2"/>
    <w:rsid w:val="091906AD"/>
    <w:rsid w:val="096C4CFE"/>
    <w:rsid w:val="097378A9"/>
    <w:rsid w:val="09854E17"/>
    <w:rsid w:val="09F438BF"/>
    <w:rsid w:val="0A8048AC"/>
    <w:rsid w:val="0BB350F4"/>
    <w:rsid w:val="0BB72EE6"/>
    <w:rsid w:val="0BF20274"/>
    <w:rsid w:val="0C3E5BAB"/>
    <w:rsid w:val="0C8911EB"/>
    <w:rsid w:val="0CE6406F"/>
    <w:rsid w:val="0D084CB2"/>
    <w:rsid w:val="0D442203"/>
    <w:rsid w:val="0D5E0ABD"/>
    <w:rsid w:val="0D795C33"/>
    <w:rsid w:val="0D977E80"/>
    <w:rsid w:val="0DBE27E0"/>
    <w:rsid w:val="0DF31FA1"/>
    <w:rsid w:val="0E955C0E"/>
    <w:rsid w:val="0F427CE4"/>
    <w:rsid w:val="0F682859"/>
    <w:rsid w:val="0F8E2BFA"/>
    <w:rsid w:val="10666F07"/>
    <w:rsid w:val="109538B0"/>
    <w:rsid w:val="109D6F12"/>
    <w:rsid w:val="10AF3621"/>
    <w:rsid w:val="10ED3C85"/>
    <w:rsid w:val="110F6725"/>
    <w:rsid w:val="117B18FF"/>
    <w:rsid w:val="118E0396"/>
    <w:rsid w:val="11943ECF"/>
    <w:rsid w:val="11EF2A98"/>
    <w:rsid w:val="12120246"/>
    <w:rsid w:val="12153D91"/>
    <w:rsid w:val="121A5338"/>
    <w:rsid w:val="12CA55CF"/>
    <w:rsid w:val="12D64E0C"/>
    <w:rsid w:val="13313120"/>
    <w:rsid w:val="1331774A"/>
    <w:rsid w:val="13A36365"/>
    <w:rsid w:val="144E253F"/>
    <w:rsid w:val="1465582B"/>
    <w:rsid w:val="148D7B5E"/>
    <w:rsid w:val="14CB3CBA"/>
    <w:rsid w:val="14E2096B"/>
    <w:rsid w:val="1569479D"/>
    <w:rsid w:val="158C2D38"/>
    <w:rsid w:val="16722B08"/>
    <w:rsid w:val="16B64C3F"/>
    <w:rsid w:val="16CE25C5"/>
    <w:rsid w:val="170D5118"/>
    <w:rsid w:val="17886674"/>
    <w:rsid w:val="178D2F42"/>
    <w:rsid w:val="178F211C"/>
    <w:rsid w:val="179263FA"/>
    <w:rsid w:val="17AB06A4"/>
    <w:rsid w:val="18306280"/>
    <w:rsid w:val="18426FEF"/>
    <w:rsid w:val="188503D3"/>
    <w:rsid w:val="18932516"/>
    <w:rsid w:val="18A11E94"/>
    <w:rsid w:val="18EC1F8C"/>
    <w:rsid w:val="191D06FD"/>
    <w:rsid w:val="19351BE1"/>
    <w:rsid w:val="19587F3E"/>
    <w:rsid w:val="1961220D"/>
    <w:rsid w:val="19812451"/>
    <w:rsid w:val="199172C1"/>
    <w:rsid w:val="1A7053DE"/>
    <w:rsid w:val="1AA60FF7"/>
    <w:rsid w:val="1ACB0F1F"/>
    <w:rsid w:val="1B2A055C"/>
    <w:rsid w:val="1B2C0FDB"/>
    <w:rsid w:val="1B38655E"/>
    <w:rsid w:val="1B552879"/>
    <w:rsid w:val="1BEA1597"/>
    <w:rsid w:val="1C816116"/>
    <w:rsid w:val="1CF94E9A"/>
    <w:rsid w:val="1D404EC9"/>
    <w:rsid w:val="1D7B5B42"/>
    <w:rsid w:val="1D92401F"/>
    <w:rsid w:val="1E6B7479"/>
    <w:rsid w:val="1E930238"/>
    <w:rsid w:val="1E957C1C"/>
    <w:rsid w:val="1EA6642B"/>
    <w:rsid w:val="1ECA315C"/>
    <w:rsid w:val="1EEC5B7B"/>
    <w:rsid w:val="1F0F7C43"/>
    <w:rsid w:val="1F78386F"/>
    <w:rsid w:val="1FCC7AEC"/>
    <w:rsid w:val="20067432"/>
    <w:rsid w:val="203423E4"/>
    <w:rsid w:val="203F7A00"/>
    <w:rsid w:val="20921516"/>
    <w:rsid w:val="212A1968"/>
    <w:rsid w:val="216701BD"/>
    <w:rsid w:val="216E07E3"/>
    <w:rsid w:val="216E4E1C"/>
    <w:rsid w:val="21870992"/>
    <w:rsid w:val="22A82B41"/>
    <w:rsid w:val="22DA5A87"/>
    <w:rsid w:val="22EB55CD"/>
    <w:rsid w:val="23143A54"/>
    <w:rsid w:val="232D492F"/>
    <w:rsid w:val="232E56E4"/>
    <w:rsid w:val="2357327C"/>
    <w:rsid w:val="24253311"/>
    <w:rsid w:val="24292213"/>
    <w:rsid w:val="24627F1C"/>
    <w:rsid w:val="24B7171D"/>
    <w:rsid w:val="24BC594F"/>
    <w:rsid w:val="24BE09A0"/>
    <w:rsid w:val="2538582A"/>
    <w:rsid w:val="2556512C"/>
    <w:rsid w:val="25EF0254"/>
    <w:rsid w:val="2658316D"/>
    <w:rsid w:val="266A214B"/>
    <w:rsid w:val="26850CE1"/>
    <w:rsid w:val="26C4434E"/>
    <w:rsid w:val="26E87656"/>
    <w:rsid w:val="274B5D32"/>
    <w:rsid w:val="2806675C"/>
    <w:rsid w:val="285075FA"/>
    <w:rsid w:val="28E139E3"/>
    <w:rsid w:val="291F63E6"/>
    <w:rsid w:val="29425983"/>
    <w:rsid w:val="29B8607C"/>
    <w:rsid w:val="2A1B10AF"/>
    <w:rsid w:val="2A224AA5"/>
    <w:rsid w:val="2AC81EB6"/>
    <w:rsid w:val="2B415326"/>
    <w:rsid w:val="2B617325"/>
    <w:rsid w:val="2B7C484A"/>
    <w:rsid w:val="2BFF530A"/>
    <w:rsid w:val="2C3A3B3A"/>
    <w:rsid w:val="2C3F0531"/>
    <w:rsid w:val="2C6F268E"/>
    <w:rsid w:val="2C805472"/>
    <w:rsid w:val="2C9F2BD1"/>
    <w:rsid w:val="2CCE1967"/>
    <w:rsid w:val="2CD54C32"/>
    <w:rsid w:val="2D055E2F"/>
    <w:rsid w:val="2D5338B1"/>
    <w:rsid w:val="2D6254A0"/>
    <w:rsid w:val="2DEB278B"/>
    <w:rsid w:val="2DFE0216"/>
    <w:rsid w:val="2F253220"/>
    <w:rsid w:val="2F32675D"/>
    <w:rsid w:val="2F44270F"/>
    <w:rsid w:val="2F7F4631"/>
    <w:rsid w:val="2FBA6DF7"/>
    <w:rsid w:val="2FCB1F0D"/>
    <w:rsid w:val="2FD670F0"/>
    <w:rsid w:val="30005807"/>
    <w:rsid w:val="30253927"/>
    <w:rsid w:val="303F6F4F"/>
    <w:rsid w:val="304843FB"/>
    <w:rsid w:val="304A2F24"/>
    <w:rsid w:val="31476779"/>
    <w:rsid w:val="314B38FF"/>
    <w:rsid w:val="319B0434"/>
    <w:rsid w:val="32257CF3"/>
    <w:rsid w:val="32270F8C"/>
    <w:rsid w:val="33841F15"/>
    <w:rsid w:val="339E5163"/>
    <w:rsid w:val="33C10A45"/>
    <w:rsid w:val="33E36C6D"/>
    <w:rsid w:val="344276F3"/>
    <w:rsid w:val="346A029C"/>
    <w:rsid w:val="348E45B0"/>
    <w:rsid w:val="34FA649E"/>
    <w:rsid w:val="354326F9"/>
    <w:rsid w:val="354513F8"/>
    <w:rsid w:val="354A0C69"/>
    <w:rsid w:val="36032A7E"/>
    <w:rsid w:val="3637328F"/>
    <w:rsid w:val="364A0E41"/>
    <w:rsid w:val="36600AB7"/>
    <w:rsid w:val="377C1C38"/>
    <w:rsid w:val="37A6109A"/>
    <w:rsid w:val="381C1E64"/>
    <w:rsid w:val="38401CC8"/>
    <w:rsid w:val="385C4FDA"/>
    <w:rsid w:val="3893211F"/>
    <w:rsid w:val="390F1BCA"/>
    <w:rsid w:val="39534877"/>
    <w:rsid w:val="39826DA1"/>
    <w:rsid w:val="3A1E7B63"/>
    <w:rsid w:val="3A5F55C4"/>
    <w:rsid w:val="3AA95721"/>
    <w:rsid w:val="3ABC2778"/>
    <w:rsid w:val="3AC55E43"/>
    <w:rsid w:val="3B817E60"/>
    <w:rsid w:val="3BEB59FB"/>
    <w:rsid w:val="3C153BAD"/>
    <w:rsid w:val="3C2B1B76"/>
    <w:rsid w:val="3C500D55"/>
    <w:rsid w:val="3C7808E7"/>
    <w:rsid w:val="3CBC31FF"/>
    <w:rsid w:val="3D5C29E2"/>
    <w:rsid w:val="3D9C4C9C"/>
    <w:rsid w:val="3DAF1305"/>
    <w:rsid w:val="3DB24AFB"/>
    <w:rsid w:val="3E6574D3"/>
    <w:rsid w:val="3EB97EE3"/>
    <w:rsid w:val="3F3D5857"/>
    <w:rsid w:val="3F494EDE"/>
    <w:rsid w:val="3F997E62"/>
    <w:rsid w:val="3FB01455"/>
    <w:rsid w:val="3FD77683"/>
    <w:rsid w:val="40372496"/>
    <w:rsid w:val="40437767"/>
    <w:rsid w:val="40DF273A"/>
    <w:rsid w:val="41285CDE"/>
    <w:rsid w:val="414B647B"/>
    <w:rsid w:val="415E7828"/>
    <w:rsid w:val="41B80D8D"/>
    <w:rsid w:val="41CC5D97"/>
    <w:rsid w:val="41D2550C"/>
    <w:rsid w:val="41E2694F"/>
    <w:rsid w:val="42383714"/>
    <w:rsid w:val="423B7111"/>
    <w:rsid w:val="4243724A"/>
    <w:rsid w:val="42782093"/>
    <w:rsid w:val="42984E40"/>
    <w:rsid w:val="42E14137"/>
    <w:rsid w:val="43303ED8"/>
    <w:rsid w:val="434E191C"/>
    <w:rsid w:val="43864243"/>
    <w:rsid w:val="43BB028D"/>
    <w:rsid w:val="43EB6D11"/>
    <w:rsid w:val="44185A58"/>
    <w:rsid w:val="44485AE7"/>
    <w:rsid w:val="447C143A"/>
    <w:rsid w:val="44870CDA"/>
    <w:rsid w:val="44A86FDD"/>
    <w:rsid w:val="44AA7308"/>
    <w:rsid w:val="457620E1"/>
    <w:rsid w:val="457E4B2D"/>
    <w:rsid w:val="463030BF"/>
    <w:rsid w:val="46BE1889"/>
    <w:rsid w:val="47003151"/>
    <w:rsid w:val="474A3D24"/>
    <w:rsid w:val="47511F0F"/>
    <w:rsid w:val="475F5757"/>
    <w:rsid w:val="47875B29"/>
    <w:rsid w:val="47B153F2"/>
    <w:rsid w:val="47D152B3"/>
    <w:rsid w:val="47D46116"/>
    <w:rsid w:val="47DB55FF"/>
    <w:rsid w:val="47E11636"/>
    <w:rsid w:val="480C22CD"/>
    <w:rsid w:val="48313FEB"/>
    <w:rsid w:val="4882111B"/>
    <w:rsid w:val="488505EF"/>
    <w:rsid w:val="48C20B24"/>
    <w:rsid w:val="49A758AE"/>
    <w:rsid w:val="49E4622E"/>
    <w:rsid w:val="49E77430"/>
    <w:rsid w:val="49EC4BFC"/>
    <w:rsid w:val="4A1645D5"/>
    <w:rsid w:val="4A422B64"/>
    <w:rsid w:val="4AEB11DA"/>
    <w:rsid w:val="4AEF6DE5"/>
    <w:rsid w:val="4B1246C0"/>
    <w:rsid w:val="4B6F6CE3"/>
    <w:rsid w:val="4BAA0271"/>
    <w:rsid w:val="4BCA7404"/>
    <w:rsid w:val="4C1E615F"/>
    <w:rsid w:val="4C7A74DB"/>
    <w:rsid w:val="4C824FC2"/>
    <w:rsid w:val="4CE527E2"/>
    <w:rsid w:val="4D0667E8"/>
    <w:rsid w:val="4D442645"/>
    <w:rsid w:val="4DBE1A54"/>
    <w:rsid w:val="4DEE1A7E"/>
    <w:rsid w:val="4E6D20D1"/>
    <w:rsid w:val="4E7A1C2C"/>
    <w:rsid w:val="4EE92A3C"/>
    <w:rsid w:val="4EF63B18"/>
    <w:rsid w:val="4F190813"/>
    <w:rsid w:val="4F837938"/>
    <w:rsid w:val="4FC936E4"/>
    <w:rsid w:val="50490ADF"/>
    <w:rsid w:val="508221C4"/>
    <w:rsid w:val="50835F3C"/>
    <w:rsid w:val="508868EB"/>
    <w:rsid w:val="50897B2F"/>
    <w:rsid w:val="508E01DC"/>
    <w:rsid w:val="50B14272"/>
    <w:rsid w:val="510D1420"/>
    <w:rsid w:val="51136D09"/>
    <w:rsid w:val="51267C0E"/>
    <w:rsid w:val="51301581"/>
    <w:rsid w:val="515D1719"/>
    <w:rsid w:val="515F3AB0"/>
    <w:rsid w:val="51626E78"/>
    <w:rsid w:val="51BA6FB4"/>
    <w:rsid w:val="51F772C0"/>
    <w:rsid w:val="52072648"/>
    <w:rsid w:val="5233307A"/>
    <w:rsid w:val="525D4BBB"/>
    <w:rsid w:val="529954E6"/>
    <w:rsid w:val="53384C72"/>
    <w:rsid w:val="538674B3"/>
    <w:rsid w:val="53883F7D"/>
    <w:rsid w:val="538C3E9C"/>
    <w:rsid w:val="53DC7669"/>
    <w:rsid w:val="54021CB0"/>
    <w:rsid w:val="5418433C"/>
    <w:rsid w:val="546A7A3C"/>
    <w:rsid w:val="552F7CF7"/>
    <w:rsid w:val="554C04B4"/>
    <w:rsid w:val="55563864"/>
    <w:rsid w:val="555E5661"/>
    <w:rsid w:val="55CD596B"/>
    <w:rsid w:val="560B0E92"/>
    <w:rsid w:val="56DF6C70"/>
    <w:rsid w:val="57027CB2"/>
    <w:rsid w:val="57A3680B"/>
    <w:rsid w:val="57CF24D1"/>
    <w:rsid w:val="57E2473E"/>
    <w:rsid w:val="583269FC"/>
    <w:rsid w:val="58C82AD2"/>
    <w:rsid w:val="594A23E1"/>
    <w:rsid w:val="59506F80"/>
    <w:rsid w:val="595F52D1"/>
    <w:rsid w:val="59E76D4B"/>
    <w:rsid w:val="5A15414E"/>
    <w:rsid w:val="5A3E29FB"/>
    <w:rsid w:val="5A637B67"/>
    <w:rsid w:val="5A7A5537"/>
    <w:rsid w:val="5A7E371E"/>
    <w:rsid w:val="5A8858B4"/>
    <w:rsid w:val="5B6D624B"/>
    <w:rsid w:val="5C5D25FE"/>
    <w:rsid w:val="5C600F63"/>
    <w:rsid w:val="5C8342BB"/>
    <w:rsid w:val="5C927406"/>
    <w:rsid w:val="5C9F3537"/>
    <w:rsid w:val="5CDF546A"/>
    <w:rsid w:val="5CED34BC"/>
    <w:rsid w:val="5D034DD1"/>
    <w:rsid w:val="5D3B4305"/>
    <w:rsid w:val="5D474D71"/>
    <w:rsid w:val="5D722182"/>
    <w:rsid w:val="5D7A7533"/>
    <w:rsid w:val="5DAF1B71"/>
    <w:rsid w:val="5E96296A"/>
    <w:rsid w:val="5F1A62A0"/>
    <w:rsid w:val="5F4E1D72"/>
    <w:rsid w:val="5F540F58"/>
    <w:rsid w:val="5FFD1AAD"/>
    <w:rsid w:val="601D63F4"/>
    <w:rsid w:val="6069643B"/>
    <w:rsid w:val="60826303"/>
    <w:rsid w:val="60CF1D24"/>
    <w:rsid w:val="61D4129D"/>
    <w:rsid w:val="61DC5566"/>
    <w:rsid w:val="623256C6"/>
    <w:rsid w:val="62750026"/>
    <w:rsid w:val="62CB1053"/>
    <w:rsid w:val="631677B6"/>
    <w:rsid w:val="6327275A"/>
    <w:rsid w:val="63635C23"/>
    <w:rsid w:val="636B0ED9"/>
    <w:rsid w:val="63A873AB"/>
    <w:rsid w:val="63E00307"/>
    <w:rsid w:val="6419361E"/>
    <w:rsid w:val="64302DA3"/>
    <w:rsid w:val="649C3E68"/>
    <w:rsid w:val="65D37E5F"/>
    <w:rsid w:val="6629333C"/>
    <w:rsid w:val="665C2F20"/>
    <w:rsid w:val="667B0D44"/>
    <w:rsid w:val="66B06F82"/>
    <w:rsid w:val="66EF69CE"/>
    <w:rsid w:val="67724786"/>
    <w:rsid w:val="67B34D92"/>
    <w:rsid w:val="67B74885"/>
    <w:rsid w:val="67B959BE"/>
    <w:rsid w:val="67BF253C"/>
    <w:rsid w:val="67C34BA9"/>
    <w:rsid w:val="67ED72CA"/>
    <w:rsid w:val="680E7C34"/>
    <w:rsid w:val="68157048"/>
    <w:rsid w:val="681E72A0"/>
    <w:rsid w:val="684B19BE"/>
    <w:rsid w:val="68E1397C"/>
    <w:rsid w:val="68F10D5E"/>
    <w:rsid w:val="69131DF1"/>
    <w:rsid w:val="696E3611"/>
    <w:rsid w:val="69E50077"/>
    <w:rsid w:val="6A935A38"/>
    <w:rsid w:val="6AF67C27"/>
    <w:rsid w:val="6AFB793F"/>
    <w:rsid w:val="6B6C58B8"/>
    <w:rsid w:val="6C067BC0"/>
    <w:rsid w:val="6C074DD7"/>
    <w:rsid w:val="6C8D09F7"/>
    <w:rsid w:val="6CA06E28"/>
    <w:rsid w:val="6CC20C8A"/>
    <w:rsid w:val="6CCA5FD4"/>
    <w:rsid w:val="6CDA3CD8"/>
    <w:rsid w:val="6D1A4801"/>
    <w:rsid w:val="6D330990"/>
    <w:rsid w:val="6D3321F9"/>
    <w:rsid w:val="6D8E7A3C"/>
    <w:rsid w:val="6E27103F"/>
    <w:rsid w:val="6E4530DF"/>
    <w:rsid w:val="6E530E6D"/>
    <w:rsid w:val="6E737DAD"/>
    <w:rsid w:val="6E934672"/>
    <w:rsid w:val="6EBD454B"/>
    <w:rsid w:val="6F283385"/>
    <w:rsid w:val="6F6212CB"/>
    <w:rsid w:val="6F7C1A52"/>
    <w:rsid w:val="6FED38DA"/>
    <w:rsid w:val="701A77F3"/>
    <w:rsid w:val="70616130"/>
    <w:rsid w:val="708654C6"/>
    <w:rsid w:val="70C65AB6"/>
    <w:rsid w:val="70E36260"/>
    <w:rsid w:val="70F147DC"/>
    <w:rsid w:val="719B60B6"/>
    <w:rsid w:val="71F84705"/>
    <w:rsid w:val="723D0667"/>
    <w:rsid w:val="727D58AD"/>
    <w:rsid w:val="72B52F78"/>
    <w:rsid w:val="740624F8"/>
    <w:rsid w:val="740C7E64"/>
    <w:rsid w:val="741F4F2D"/>
    <w:rsid w:val="74830D94"/>
    <w:rsid w:val="74CA45B0"/>
    <w:rsid w:val="74F20DA6"/>
    <w:rsid w:val="7520622F"/>
    <w:rsid w:val="75AD4A63"/>
    <w:rsid w:val="75E159EC"/>
    <w:rsid w:val="75EC1A3F"/>
    <w:rsid w:val="764E7741"/>
    <w:rsid w:val="76A6729A"/>
    <w:rsid w:val="76AB1180"/>
    <w:rsid w:val="76B10D98"/>
    <w:rsid w:val="76C04FD8"/>
    <w:rsid w:val="776B2E64"/>
    <w:rsid w:val="77AA1FA7"/>
    <w:rsid w:val="77B63844"/>
    <w:rsid w:val="7810674A"/>
    <w:rsid w:val="79367514"/>
    <w:rsid w:val="79465B60"/>
    <w:rsid w:val="79485F14"/>
    <w:rsid w:val="7962133B"/>
    <w:rsid w:val="79763C2C"/>
    <w:rsid w:val="79880914"/>
    <w:rsid w:val="79A47EE7"/>
    <w:rsid w:val="79B7051C"/>
    <w:rsid w:val="7A067AE7"/>
    <w:rsid w:val="7A3260FF"/>
    <w:rsid w:val="7A752F81"/>
    <w:rsid w:val="7A940432"/>
    <w:rsid w:val="7AD74EDD"/>
    <w:rsid w:val="7AE01657"/>
    <w:rsid w:val="7AE66CCC"/>
    <w:rsid w:val="7B225E0C"/>
    <w:rsid w:val="7B3309C1"/>
    <w:rsid w:val="7B4C093A"/>
    <w:rsid w:val="7B856F95"/>
    <w:rsid w:val="7BCA48AF"/>
    <w:rsid w:val="7BCB1C68"/>
    <w:rsid w:val="7BCC0EA0"/>
    <w:rsid w:val="7BCC520A"/>
    <w:rsid w:val="7BCD2770"/>
    <w:rsid w:val="7BE844FF"/>
    <w:rsid w:val="7BF95E46"/>
    <w:rsid w:val="7C157D3E"/>
    <w:rsid w:val="7CAB7482"/>
    <w:rsid w:val="7CCB5503"/>
    <w:rsid w:val="7CDE1943"/>
    <w:rsid w:val="7CEF616F"/>
    <w:rsid w:val="7D5C6EC7"/>
    <w:rsid w:val="7D637393"/>
    <w:rsid w:val="7D6E5ABC"/>
    <w:rsid w:val="7D800831"/>
    <w:rsid w:val="7D855E21"/>
    <w:rsid w:val="7E6B6089"/>
    <w:rsid w:val="7E82227F"/>
    <w:rsid w:val="7EAE6D56"/>
    <w:rsid w:val="7FC0214B"/>
    <w:rsid w:val="7FE864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B4FD629-6039-DF40-8DA8-7063F856B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4"/>
    </w:rPr>
  </w:style>
  <w:style w:type="paragraph" w:styleId="1">
    <w:name w:val="heading 1"/>
    <w:basedOn w:val="a"/>
    <w:next w:val="a"/>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unhideWhenUsed/>
    <w:qFormat/>
    <w:pPr>
      <w:spacing w:before="100" w:beforeAutospacing="1" w:after="100"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link w:val="Char0"/>
    <w:uiPriority w:val="99"/>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pPr>
      <w:spacing w:before="100" w:beforeAutospacing="1" w:after="100" w:afterAutospacing="1"/>
      <w:jc w:val="left"/>
    </w:pPr>
    <w:rPr>
      <w:kern w:val="0"/>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qFormat/>
    <w:rPr>
      <w:b/>
    </w:rPr>
  </w:style>
  <w:style w:type="character" w:styleId="a9">
    <w:name w:val="Emphasis"/>
    <w:basedOn w:val="a0"/>
    <w:qFormat/>
    <w:rPr>
      <w:i/>
    </w:rPr>
  </w:style>
  <w:style w:type="character" w:styleId="aa">
    <w:name w:val="Hyperlink"/>
    <w:basedOn w:val="a0"/>
    <w:qFormat/>
    <w:rPr>
      <w:color w:val="0000FF"/>
      <w:u w:val="single"/>
    </w:rPr>
  </w:style>
  <w:style w:type="paragraph" w:customStyle="1" w:styleId="10">
    <w:name w:val="列表段落1"/>
    <w:basedOn w:val="a"/>
    <w:uiPriority w:val="34"/>
    <w:qFormat/>
    <w:pPr>
      <w:ind w:firstLineChars="200" w:firstLine="420"/>
    </w:pPr>
  </w:style>
  <w:style w:type="character" w:customStyle="1" w:styleId="Char">
    <w:name w:val="批注框文本 Char"/>
    <w:basedOn w:val="a0"/>
    <w:link w:val="a3"/>
    <w:qFormat/>
    <w:rPr>
      <w:kern w:val="2"/>
      <w:sz w:val="18"/>
      <w:szCs w:val="18"/>
    </w:rPr>
  </w:style>
  <w:style w:type="paragraph" w:styleId="ab">
    <w:name w:val="List Paragraph"/>
    <w:basedOn w:val="a"/>
    <w:uiPriority w:val="34"/>
    <w:unhideWhenUsed/>
    <w:qFormat/>
    <w:pPr>
      <w:ind w:firstLineChars="200" w:firstLine="420"/>
    </w:pPr>
  </w:style>
  <w:style w:type="character" w:customStyle="1" w:styleId="Char0">
    <w:name w:val="页脚 Char"/>
    <w:basedOn w:val="a0"/>
    <w:link w:val="a4"/>
    <w:uiPriority w:val="99"/>
    <w:rPr>
      <w:rFonts w:ascii="Calibri" w:hAnsi="Calibri"/>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10</Pages>
  <Words>827</Words>
  <Characters>4717</Characters>
  <Application>Microsoft Office Word</Application>
  <DocSecurity>0</DocSecurity>
  <Lines>39</Lines>
  <Paragraphs>11</Paragraphs>
  <ScaleCrop>false</ScaleCrop>
  <Company>微软公司</Company>
  <LinksUpToDate>false</LinksUpToDate>
  <CharactersWithSpaces>5533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13910034063</cp:lastModifiedBy>
  <cp:revision>8</cp:revision>
  <dcterms:created xsi:type="dcterms:W3CDTF">2020-05-06T02:56:00Z</dcterms:created>
  <dcterms:modified xsi:type="dcterms:W3CDTF">2020-05-18T01:35:00Z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